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E1368E" w:rsidRDefault="00635792" w:rsidP="00CB153A">
      <w:pPr>
        <w:pStyle w:val="a5"/>
        <w:jc w:val="center"/>
        <w:rPr>
          <w:b/>
          <w:sz w:val="23"/>
          <w:szCs w:val="23"/>
        </w:rPr>
      </w:pPr>
      <w:r w:rsidRPr="00E1368E">
        <w:rPr>
          <w:b/>
          <w:sz w:val="23"/>
          <w:szCs w:val="23"/>
        </w:rPr>
        <w:t>И</w:t>
      </w:r>
      <w:r w:rsidR="00560AC4" w:rsidRPr="00E1368E">
        <w:rPr>
          <w:b/>
          <w:sz w:val="23"/>
          <w:szCs w:val="23"/>
        </w:rPr>
        <w:t xml:space="preserve">звещение акционеров </w:t>
      </w:r>
      <w:r w:rsidR="00FB2717" w:rsidRPr="00E1368E">
        <w:rPr>
          <w:b/>
          <w:sz w:val="23"/>
          <w:szCs w:val="23"/>
        </w:rPr>
        <w:t xml:space="preserve">о </w:t>
      </w:r>
      <w:r w:rsidRPr="00E1368E">
        <w:rPr>
          <w:b/>
          <w:sz w:val="23"/>
          <w:szCs w:val="23"/>
        </w:rPr>
        <w:t>сделке, в совершении которой имеется заинтересованность</w:t>
      </w:r>
    </w:p>
    <w:p w:rsidR="00FB2717" w:rsidRPr="00E1368E" w:rsidRDefault="00FB2717" w:rsidP="00CB153A">
      <w:pPr>
        <w:pStyle w:val="a5"/>
        <w:jc w:val="both"/>
        <w:rPr>
          <w:sz w:val="23"/>
          <w:szCs w:val="23"/>
        </w:rPr>
      </w:pPr>
    </w:p>
    <w:p w:rsidR="00560AC4" w:rsidRPr="00E1368E" w:rsidRDefault="00560AC4" w:rsidP="00CB153A">
      <w:pPr>
        <w:pStyle w:val="a5"/>
        <w:ind w:firstLine="567"/>
        <w:jc w:val="both"/>
        <w:rPr>
          <w:sz w:val="23"/>
          <w:szCs w:val="23"/>
        </w:rPr>
      </w:pPr>
      <w:r w:rsidRPr="00E1368E">
        <w:rPr>
          <w:sz w:val="23"/>
          <w:szCs w:val="23"/>
        </w:rPr>
        <w:t xml:space="preserve">Настоящим </w:t>
      </w:r>
      <w:r w:rsidR="006F79C3" w:rsidRPr="00E1368E">
        <w:rPr>
          <w:sz w:val="23"/>
          <w:szCs w:val="23"/>
        </w:rPr>
        <w:t>Открытое акционерное общество «Йошкар-Олинская кондитерская фабрика»</w:t>
      </w:r>
      <w:r w:rsidR="000172DF" w:rsidRPr="00E1368E">
        <w:rPr>
          <w:sz w:val="23"/>
          <w:szCs w:val="23"/>
        </w:rPr>
        <w:t xml:space="preserve"> (далее – Общество)</w:t>
      </w:r>
      <w:r w:rsidR="00635792" w:rsidRPr="00E1368E">
        <w:rPr>
          <w:sz w:val="23"/>
          <w:szCs w:val="23"/>
        </w:rPr>
        <w:t xml:space="preserve"> в соответствии с п. 1.1 ст. 81 Федерального закона от 26.12.1995 года № 208-ФЗ «Об акционерных обществах»</w:t>
      </w:r>
      <w:r w:rsidR="000172DF" w:rsidRPr="00E1368E">
        <w:rPr>
          <w:sz w:val="23"/>
          <w:szCs w:val="23"/>
        </w:rPr>
        <w:t xml:space="preserve"> </w:t>
      </w:r>
      <w:r w:rsidR="00635792" w:rsidRPr="00E1368E">
        <w:rPr>
          <w:sz w:val="23"/>
          <w:szCs w:val="23"/>
        </w:rPr>
        <w:t>извещает</w:t>
      </w:r>
      <w:r w:rsidR="000172DF" w:rsidRPr="00E1368E">
        <w:rPr>
          <w:sz w:val="23"/>
          <w:szCs w:val="23"/>
        </w:rPr>
        <w:t xml:space="preserve"> а</w:t>
      </w:r>
      <w:r w:rsidRPr="00E1368E">
        <w:rPr>
          <w:sz w:val="23"/>
          <w:szCs w:val="23"/>
        </w:rPr>
        <w:t>кционеров Общества</w:t>
      </w:r>
      <w:r w:rsidR="00635792" w:rsidRPr="00E1368E">
        <w:rPr>
          <w:sz w:val="23"/>
          <w:szCs w:val="23"/>
        </w:rPr>
        <w:t xml:space="preserve"> </w:t>
      </w:r>
      <w:r w:rsidR="000172DF" w:rsidRPr="00E1368E">
        <w:rPr>
          <w:sz w:val="23"/>
          <w:szCs w:val="23"/>
        </w:rPr>
        <w:t xml:space="preserve">о </w:t>
      </w:r>
      <w:r w:rsidR="00635792" w:rsidRPr="00E1368E">
        <w:rPr>
          <w:sz w:val="23"/>
          <w:szCs w:val="23"/>
        </w:rPr>
        <w:t>сделке, в совершении которой имеется заинтересованность</w:t>
      </w:r>
      <w:r w:rsidRPr="00E1368E">
        <w:rPr>
          <w:sz w:val="23"/>
          <w:szCs w:val="23"/>
        </w:rPr>
        <w:t xml:space="preserve"> (далее – Сделка)</w:t>
      </w:r>
      <w:r w:rsidR="000C6019" w:rsidRPr="00E1368E">
        <w:rPr>
          <w:sz w:val="23"/>
          <w:szCs w:val="23"/>
        </w:rPr>
        <w:t>:</w:t>
      </w:r>
    </w:p>
    <w:p w:rsidR="00EC7B6E" w:rsidRPr="00E1368E" w:rsidRDefault="00063DC8" w:rsidP="00560AC4">
      <w:pPr>
        <w:pStyle w:val="a5"/>
        <w:jc w:val="both"/>
        <w:rPr>
          <w:sz w:val="23"/>
          <w:szCs w:val="23"/>
        </w:rPr>
      </w:pPr>
      <w:r w:rsidRPr="00E1368E">
        <w:rPr>
          <w:sz w:val="23"/>
          <w:szCs w:val="23"/>
        </w:rPr>
        <w:t xml:space="preserve">Договор </w:t>
      </w:r>
      <w:r w:rsidR="00E1368E" w:rsidRPr="00E1368E">
        <w:rPr>
          <w:sz w:val="23"/>
          <w:szCs w:val="23"/>
        </w:rPr>
        <w:t>поставки</w:t>
      </w:r>
      <w:r w:rsidR="00CB153A" w:rsidRPr="00E1368E">
        <w:rPr>
          <w:sz w:val="23"/>
          <w:szCs w:val="23"/>
        </w:rPr>
        <w:t>.</w:t>
      </w:r>
    </w:p>
    <w:p w:rsidR="001D1C86" w:rsidRPr="00E1368E" w:rsidRDefault="001D1C86" w:rsidP="00CB153A">
      <w:pPr>
        <w:pStyle w:val="a5"/>
        <w:ind w:firstLine="567"/>
        <w:jc w:val="both"/>
        <w:rPr>
          <w:sz w:val="23"/>
          <w:szCs w:val="23"/>
        </w:rPr>
      </w:pPr>
      <w:r w:rsidRPr="00E1368E">
        <w:rPr>
          <w:sz w:val="23"/>
          <w:szCs w:val="23"/>
        </w:rPr>
        <w:t xml:space="preserve">Лица, являющиеся сторонами </w:t>
      </w:r>
      <w:r w:rsidR="00560AC4" w:rsidRPr="00E1368E">
        <w:rPr>
          <w:sz w:val="23"/>
          <w:szCs w:val="23"/>
        </w:rPr>
        <w:t>С</w:t>
      </w:r>
      <w:r w:rsidRPr="00E1368E">
        <w:rPr>
          <w:sz w:val="23"/>
          <w:szCs w:val="23"/>
        </w:rPr>
        <w:t>делки</w:t>
      </w:r>
      <w:r w:rsidR="00EC7B6E" w:rsidRPr="00E1368E">
        <w:rPr>
          <w:sz w:val="23"/>
          <w:szCs w:val="23"/>
        </w:rPr>
        <w:t>:</w:t>
      </w:r>
    </w:p>
    <w:p w:rsidR="00063DC8" w:rsidRPr="00E1368E" w:rsidRDefault="00063DC8" w:rsidP="00063DC8">
      <w:pPr>
        <w:pStyle w:val="a5"/>
        <w:jc w:val="both"/>
        <w:rPr>
          <w:sz w:val="23"/>
          <w:szCs w:val="23"/>
        </w:rPr>
      </w:pPr>
      <w:r w:rsidRPr="00E1368E">
        <w:rPr>
          <w:sz w:val="23"/>
          <w:szCs w:val="23"/>
        </w:rPr>
        <w:t>-</w:t>
      </w:r>
      <w:r w:rsidR="00290A12" w:rsidRPr="00E1368E">
        <w:rPr>
          <w:sz w:val="23"/>
          <w:szCs w:val="23"/>
        </w:rPr>
        <w:t xml:space="preserve"> Открытое акционерное общество «Кондитерская фирма «ТАКФ» (</w:t>
      </w:r>
      <w:r w:rsidR="00E1368E" w:rsidRPr="00E1368E">
        <w:rPr>
          <w:sz w:val="23"/>
          <w:szCs w:val="23"/>
        </w:rPr>
        <w:t>Поставщик</w:t>
      </w:r>
      <w:r w:rsidR="00290A12" w:rsidRPr="00E1368E">
        <w:rPr>
          <w:sz w:val="23"/>
          <w:szCs w:val="23"/>
        </w:rPr>
        <w:t>)</w:t>
      </w:r>
      <w:r w:rsidRPr="00E1368E">
        <w:rPr>
          <w:sz w:val="23"/>
          <w:szCs w:val="23"/>
        </w:rPr>
        <w:t>;</w:t>
      </w:r>
    </w:p>
    <w:p w:rsidR="00EC7B6E" w:rsidRPr="00E1368E" w:rsidRDefault="00063DC8" w:rsidP="00063DC8">
      <w:pPr>
        <w:pStyle w:val="a5"/>
        <w:jc w:val="both"/>
        <w:rPr>
          <w:sz w:val="23"/>
          <w:szCs w:val="23"/>
        </w:rPr>
      </w:pPr>
      <w:r w:rsidRPr="00E1368E">
        <w:rPr>
          <w:sz w:val="23"/>
          <w:szCs w:val="23"/>
        </w:rPr>
        <w:t>-</w:t>
      </w:r>
      <w:r w:rsidR="00290A12" w:rsidRPr="00E1368E">
        <w:rPr>
          <w:sz w:val="23"/>
          <w:szCs w:val="23"/>
        </w:rPr>
        <w:t xml:space="preserve"> Открытое акционерное общество «Йошкар-Олинская кондитерская фабрика» (Пок</w:t>
      </w:r>
      <w:r w:rsidR="00E1368E" w:rsidRPr="00E1368E">
        <w:rPr>
          <w:sz w:val="23"/>
          <w:szCs w:val="23"/>
        </w:rPr>
        <w:t>упатель</w:t>
      </w:r>
      <w:r w:rsidR="00290A12" w:rsidRPr="00E1368E">
        <w:rPr>
          <w:sz w:val="23"/>
          <w:szCs w:val="23"/>
        </w:rPr>
        <w:t>)</w:t>
      </w:r>
      <w:r w:rsidRPr="00E1368E">
        <w:rPr>
          <w:sz w:val="23"/>
          <w:szCs w:val="23"/>
        </w:rPr>
        <w:t>.</w:t>
      </w:r>
    </w:p>
    <w:p w:rsidR="001D1C86" w:rsidRPr="00E1368E" w:rsidRDefault="001D1C86" w:rsidP="00CB153A">
      <w:pPr>
        <w:pStyle w:val="a5"/>
        <w:ind w:firstLine="567"/>
        <w:jc w:val="both"/>
        <w:rPr>
          <w:sz w:val="23"/>
          <w:szCs w:val="23"/>
        </w:rPr>
      </w:pPr>
      <w:r w:rsidRPr="00E1368E">
        <w:rPr>
          <w:sz w:val="23"/>
          <w:szCs w:val="23"/>
        </w:rPr>
        <w:t xml:space="preserve">Общество планирует заключить указанную </w:t>
      </w:r>
      <w:r w:rsidR="00560AC4" w:rsidRPr="00E1368E">
        <w:rPr>
          <w:sz w:val="23"/>
          <w:szCs w:val="23"/>
        </w:rPr>
        <w:t>С</w:t>
      </w:r>
      <w:r w:rsidRPr="00E1368E">
        <w:rPr>
          <w:sz w:val="23"/>
          <w:szCs w:val="23"/>
        </w:rPr>
        <w:t>делку на следующих условиях:</w:t>
      </w:r>
    </w:p>
    <w:p w:rsidR="00560AC4" w:rsidRPr="00E1368E" w:rsidRDefault="001D1C86" w:rsidP="00560AC4">
      <w:pPr>
        <w:pStyle w:val="a5"/>
        <w:ind w:firstLine="567"/>
        <w:jc w:val="both"/>
        <w:rPr>
          <w:sz w:val="23"/>
          <w:szCs w:val="23"/>
        </w:rPr>
      </w:pPr>
      <w:r w:rsidRPr="00E1368E">
        <w:rPr>
          <w:sz w:val="23"/>
          <w:szCs w:val="23"/>
        </w:rPr>
        <w:t xml:space="preserve">Предмет </w:t>
      </w:r>
      <w:r w:rsidR="00560AC4" w:rsidRPr="00E1368E">
        <w:rPr>
          <w:sz w:val="23"/>
          <w:szCs w:val="23"/>
        </w:rPr>
        <w:t>С</w:t>
      </w:r>
      <w:r w:rsidRPr="00E1368E">
        <w:rPr>
          <w:sz w:val="23"/>
          <w:szCs w:val="23"/>
        </w:rPr>
        <w:t>делки:</w:t>
      </w:r>
    </w:p>
    <w:p w:rsidR="001D1C86" w:rsidRPr="00E1368E" w:rsidRDefault="00E1368E" w:rsidP="00560AC4">
      <w:pPr>
        <w:pStyle w:val="a5"/>
        <w:jc w:val="both"/>
        <w:rPr>
          <w:sz w:val="23"/>
          <w:szCs w:val="23"/>
        </w:rPr>
      </w:pPr>
      <w:r w:rsidRPr="00E1368E">
        <w:rPr>
          <w:sz w:val="23"/>
          <w:szCs w:val="23"/>
        </w:rPr>
        <w:t>Поставщик обязуется поставить кондитерские изделия (далее – продукция), а Покупатель обязуется принять и оплатить их в порядке и на условиях, определенных в договоре, а также в спецификациях к нему. Спецификации являются неотъемлемыми частями договора</w:t>
      </w:r>
      <w:r w:rsidR="00063DC8" w:rsidRPr="00E1368E">
        <w:rPr>
          <w:sz w:val="23"/>
          <w:szCs w:val="23"/>
        </w:rPr>
        <w:t>;</w:t>
      </w:r>
    </w:p>
    <w:p w:rsidR="00560AC4" w:rsidRPr="00E1368E" w:rsidRDefault="00560AC4" w:rsidP="00560AC4">
      <w:pPr>
        <w:pStyle w:val="a5"/>
        <w:ind w:firstLine="567"/>
        <w:jc w:val="both"/>
        <w:rPr>
          <w:sz w:val="23"/>
          <w:szCs w:val="23"/>
        </w:rPr>
      </w:pPr>
      <w:r w:rsidRPr="00E1368E">
        <w:rPr>
          <w:sz w:val="23"/>
          <w:szCs w:val="23"/>
        </w:rPr>
        <w:t>Цена С</w:t>
      </w:r>
      <w:r w:rsidR="0077334E" w:rsidRPr="00E1368E">
        <w:rPr>
          <w:sz w:val="23"/>
          <w:szCs w:val="23"/>
        </w:rPr>
        <w:t>делки:</w:t>
      </w:r>
    </w:p>
    <w:p w:rsidR="0077334E" w:rsidRPr="00E1368E" w:rsidRDefault="00E1368E" w:rsidP="00957426">
      <w:pPr>
        <w:pStyle w:val="a5"/>
        <w:jc w:val="both"/>
        <w:rPr>
          <w:sz w:val="23"/>
          <w:szCs w:val="23"/>
        </w:rPr>
      </w:pPr>
      <w:r w:rsidRPr="00E1368E">
        <w:rPr>
          <w:sz w:val="23"/>
          <w:szCs w:val="23"/>
        </w:rPr>
        <w:t>Цена на продукцию определяется в спецификациях (приложениях) к договору, утвержденных в двухстороннем порядке. Цена на продукцию является твердой, не включает в себя НДС, и может быть изменена лишь по взаимному согласию сторон. Общая стоимость отгруженной продукции не должна превышать 37 000 000 (тридцать семь миллионов) рублей, в том числе НДС 20 %</w:t>
      </w:r>
      <w:r w:rsidR="00063DC8" w:rsidRPr="00E1368E">
        <w:rPr>
          <w:sz w:val="23"/>
          <w:szCs w:val="23"/>
        </w:rPr>
        <w:t>;</w:t>
      </w:r>
    </w:p>
    <w:p w:rsidR="00560AC4" w:rsidRPr="00E1368E" w:rsidRDefault="00560AC4" w:rsidP="00560AC4">
      <w:pPr>
        <w:pStyle w:val="a5"/>
        <w:ind w:firstLine="567"/>
        <w:jc w:val="both"/>
        <w:rPr>
          <w:sz w:val="23"/>
          <w:szCs w:val="23"/>
        </w:rPr>
      </w:pPr>
      <w:r w:rsidRPr="00E1368E">
        <w:rPr>
          <w:sz w:val="23"/>
          <w:szCs w:val="23"/>
        </w:rPr>
        <w:t>Иные существенные условия С</w:t>
      </w:r>
      <w:r w:rsidR="0077334E" w:rsidRPr="00E1368E">
        <w:rPr>
          <w:sz w:val="23"/>
          <w:szCs w:val="23"/>
        </w:rPr>
        <w:t>делки или порядок их определения:</w:t>
      </w:r>
    </w:p>
    <w:p w:rsidR="0077334E" w:rsidRPr="00E1368E" w:rsidRDefault="00E1368E" w:rsidP="001D30AB">
      <w:pPr>
        <w:pStyle w:val="a5"/>
        <w:jc w:val="both"/>
        <w:rPr>
          <w:sz w:val="23"/>
          <w:szCs w:val="23"/>
        </w:rPr>
      </w:pPr>
      <w:r w:rsidRPr="00E1368E">
        <w:rPr>
          <w:sz w:val="23"/>
          <w:szCs w:val="23"/>
        </w:rPr>
        <w:t>Продукция отгружается партиями согласно акцептованным заказам Покупателя. Количество каждой конкретной партии продукции определяется исходя из транспортной единицы отгрузки, согласованной сторонами. Передача продукции осуществляется путем доставки транспортными средствами и за счет Поставщика на склад Покупателя (грузополучателя), адрес которого указан в заявке Покупателя. Грузополучателем по договору является Покупатель или иное лицо, указанное Покупателем в заявке. Платежи за поставляемую по договору продукцию осуществляются путем перечисления денежных средств на расчетный счет Поставщика в течение 40 календарных дней с даты поставки продукции. Договор вступает в силу с даты его подписания и действует до 31.12.2024 года с правом пролонгации. В случае если ни одна сторона не заявит другой стороне о прекращении действия договора не позднее, чем за 15 календарных дней до даты истечения срока договора, то договор считается продленным на каждый последующий календарный год на тех же условиях</w:t>
      </w:r>
      <w:r w:rsidR="00063DC8" w:rsidRPr="00E1368E">
        <w:rPr>
          <w:sz w:val="23"/>
          <w:szCs w:val="23"/>
        </w:rPr>
        <w:t>.</w:t>
      </w:r>
    </w:p>
    <w:p w:rsidR="001D1C86" w:rsidRPr="00E1368E" w:rsidRDefault="001D1C86" w:rsidP="0077334E">
      <w:pPr>
        <w:pStyle w:val="a5"/>
        <w:jc w:val="both"/>
        <w:rPr>
          <w:sz w:val="23"/>
          <w:szCs w:val="23"/>
        </w:rPr>
      </w:pPr>
    </w:p>
    <w:p w:rsidR="007C34B6" w:rsidRPr="00E1368E" w:rsidRDefault="00DD1A8D" w:rsidP="00CB153A">
      <w:pPr>
        <w:pStyle w:val="a5"/>
        <w:ind w:firstLine="567"/>
        <w:jc w:val="both"/>
        <w:rPr>
          <w:sz w:val="23"/>
          <w:szCs w:val="23"/>
        </w:rPr>
      </w:pPr>
      <w:r w:rsidRPr="00E1368E">
        <w:rPr>
          <w:sz w:val="23"/>
          <w:szCs w:val="23"/>
        </w:rPr>
        <w:t xml:space="preserve">Лицо (лица), имеющие заинтересованность в совершении </w:t>
      </w:r>
      <w:r w:rsidR="00560AC4" w:rsidRPr="00E1368E">
        <w:rPr>
          <w:sz w:val="23"/>
          <w:szCs w:val="23"/>
        </w:rPr>
        <w:t>С</w:t>
      </w:r>
      <w:r w:rsidRPr="00E1368E">
        <w:rPr>
          <w:sz w:val="23"/>
          <w:szCs w:val="23"/>
        </w:rPr>
        <w:t xml:space="preserve">делки, а также основания, по которым лицо (каждое из лиц), имеющее заинтересованность в совершении </w:t>
      </w:r>
      <w:r w:rsidR="00560AC4" w:rsidRPr="00E1368E">
        <w:rPr>
          <w:sz w:val="23"/>
          <w:szCs w:val="23"/>
        </w:rPr>
        <w:t>С</w:t>
      </w:r>
      <w:r w:rsidRPr="00E1368E">
        <w:rPr>
          <w:sz w:val="23"/>
          <w:szCs w:val="23"/>
        </w:rPr>
        <w:t>делки, является таковым</w:t>
      </w:r>
      <w:r w:rsidR="00600B05" w:rsidRPr="00E1368E">
        <w:rPr>
          <w:sz w:val="23"/>
          <w:szCs w:val="23"/>
        </w:rPr>
        <w:t>:</w:t>
      </w:r>
    </w:p>
    <w:tbl>
      <w:tblPr>
        <w:tblStyle w:val="a6"/>
        <w:tblW w:w="0" w:type="auto"/>
        <w:tblLook w:val="04A0"/>
      </w:tblPr>
      <w:tblGrid>
        <w:gridCol w:w="4928"/>
        <w:gridCol w:w="5492"/>
      </w:tblGrid>
      <w:tr w:rsidR="00D64D9F" w:rsidRPr="00E1368E" w:rsidTr="00D21A11">
        <w:tc>
          <w:tcPr>
            <w:tcW w:w="4928" w:type="dxa"/>
          </w:tcPr>
          <w:p w:rsidR="00D64D9F" w:rsidRPr="00E1368E" w:rsidRDefault="00D21A11" w:rsidP="00D21A11">
            <w:pPr>
              <w:pStyle w:val="a5"/>
              <w:jc w:val="center"/>
              <w:rPr>
                <w:b/>
                <w:sz w:val="23"/>
                <w:szCs w:val="23"/>
              </w:rPr>
            </w:pPr>
            <w:r w:rsidRPr="00E1368E">
              <w:rPr>
                <w:b/>
                <w:sz w:val="23"/>
                <w:szCs w:val="23"/>
              </w:rPr>
              <w:t>Наименование лица (лиц)</w:t>
            </w:r>
          </w:p>
        </w:tc>
        <w:tc>
          <w:tcPr>
            <w:tcW w:w="5492" w:type="dxa"/>
          </w:tcPr>
          <w:p w:rsidR="00D64D9F" w:rsidRPr="00E1368E" w:rsidRDefault="00D21A11" w:rsidP="00D21A11">
            <w:pPr>
              <w:pStyle w:val="a5"/>
              <w:jc w:val="center"/>
              <w:rPr>
                <w:b/>
                <w:sz w:val="23"/>
                <w:szCs w:val="23"/>
              </w:rPr>
            </w:pPr>
            <w:r w:rsidRPr="00E1368E">
              <w:rPr>
                <w:b/>
                <w:sz w:val="23"/>
                <w:szCs w:val="23"/>
              </w:rPr>
              <w:t>Основания заинтересованности</w:t>
            </w:r>
          </w:p>
        </w:tc>
      </w:tr>
      <w:tr w:rsidR="00D21A11" w:rsidRPr="00E1368E" w:rsidTr="00D21A11">
        <w:tc>
          <w:tcPr>
            <w:tcW w:w="4928" w:type="dxa"/>
          </w:tcPr>
          <w:p w:rsidR="00D21A11" w:rsidRPr="00E1368E" w:rsidRDefault="00D21A11" w:rsidP="00D21A11">
            <w:pPr>
              <w:pStyle w:val="a5"/>
              <w:jc w:val="both"/>
              <w:rPr>
                <w:sz w:val="23"/>
                <w:szCs w:val="23"/>
                <w:u w:val="single"/>
              </w:rPr>
            </w:pPr>
            <w:r w:rsidRPr="00E1368E">
              <w:rPr>
                <w:sz w:val="23"/>
                <w:szCs w:val="23"/>
                <w:u w:val="single"/>
              </w:rPr>
              <w:t>Члены Совета директоров Общества:</w:t>
            </w:r>
          </w:p>
          <w:p w:rsidR="00D21A11" w:rsidRPr="00E1368E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Харин Алексей Анатольевич</w:t>
            </w:r>
          </w:p>
          <w:p w:rsidR="00D21A11" w:rsidRPr="00E1368E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Петров Александр Юрьевич</w:t>
            </w:r>
          </w:p>
          <w:p w:rsidR="00D21A11" w:rsidRPr="00E1368E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Петров Алексей Юрьевич</w:t>
            </w:r>
          </w:p>
          <w:p w:rsidR="00D21A11" w:rsidRPr="00E1368E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  <w:lang w:val="en-US"/>
              </w:rPr>
              <w:t>Ирин Георгий Александрович</w:t>
            </w:r>
          </w:p>
        </w:tc>
        <w:tc>
          <w:tcPr>
            <w:tcW w:w="5492" w:type="dxa"/>
          </w:tcPr>
          <w:p w:rsidR="00D21A11" w:rsidRPr="00E1368E" w:rsidRDefault="00D21A11" w:rsidP="00D21A11">
            <w:pPr>
              <w:pStyle w:val="a5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Занимают должности в органах управления управляющей организации Открытого акционерного общества «Кондитерская фирма «ТАКФ»</w:t>
            </w:r>
          </w:p>
        </w:tc>
      </w:tr>
      <w:tr w:rsidR="00D21A11" w:rsidRPr="00E1368E" w:rsidTr="00D21A11">
        <w:tc>
          <w:tcPr>
            <w:tcW w:w="4928" w:type="dxa"/>
          </w:tcPr>
          <w:p w:rsidR="00D21A11" w:rsidRPr="00E1368E" w:rsidRDefault="00D21A11" w:rsidP="00D21A11">
            <w:pPr>
              <w:pStyle w:val="a5"/>
              <w:jc w:val="both"/>
              <w:rPr>
                <w:sz w:val="23"/>
                <w:szCs w:val="23"/>
                <w:u w:val="single"/>
              </w:rPr>
            </w:pPr>
            <w:r w:rsidRPr="00E1368E">
              <w:rPr>
                <w:sz w:val="23"/>
                <w:szCs w:val="23"/>
                <w:u w:val="single"/>
              </w:rPr>
              <w:t>Члены Совета директоров Общества:</w:t>
            </w:r>
          </w:p>
          <w:p w:rsidR="00D21A11" w:rsidRPr="00E1368E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Харин Алексей Анатольевич</w:t>
            </w:r>
          </w:p>
          <w:p w:rsidR="00D21A11" w:rsidRPr="00E1368E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Петров Александр Юрьевич</w:t>
            </w:r>
          </w:p>
          <w:p w:rsidR="00D21A11" w:rsidRPr="00E1368E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sz w:val="23"/>
                <w:szCs w:val="23"/>
                <w:u w:val="single"/>
              </w:rPr>
            </w:pPr>
            <w:r w:rsidRPr="00E1368E">
              <w:rPr>
                <w:sz w:val="23"/>
                <w:szCs w:val="23"/>
              </w:rPr>
              <w:t>Петров Алексей Юрьевич</w:t>
            </w:r>
          </w:p>
          <w:p w:rsidR="00D21A11" w:rsidRPr="00E1368E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Бутко Кирилл Викторович</w:t>
            </w:r>
          </w:p>
        </w:tc>
        <w:tc>
          <w:tcPr>
            <w:tcW w:w="5492" w:type="dxa"/>
          </w:tcPr>
          <w:p w:rsidR="00D21A11" w:rsidRPr="00E1368E" w:rsidRDefault="00D21A11" w:rsidP="00D21A11">
            <w:pPr>
              <w:pStyle w:val="a5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Занимают должности в органах управления Открытого акционерного общества «Кондитерская фирма «ТАКФ»</w:t>
            </w:r>
          </w:p>
        </w:tc>
      </w:tr>
      <w:tr w:rsidR="00D21A11" w:rsidRPr="00E1368E" w:rsidTr="00D21A11">
        <w:tc>
          <w:tcPr>
            <w:tcW w:w="4928" w:type="dxa"/>
          </w:tcPr>
          <w:p w:rsidR="00D21A11" w:rsidRPr="00E1368E" w:rsidRDefault="00D21A11" w:rsidP="00D21A11">
            <w:pPr>
              <w:pStyle w:val="a5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  <w:u w:val="single"/>
              </w:rPr>
              <w:t>Единоличный исполнительный орган Общества:</w:t>
            </w:r>
          </w:p>
          <w:p w:rsidR="00D21A11" w:rsidRPr="00E1368E" w:rsidRDefault="00D21A11" w:rsidP="00D21A11">
            <w:pPr>
              <w:pStyle w:val="a5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Общество с ограниченной ответственностью «Объединенные кондитеры»</w:t>
            </w:r>
          </w:p>
        </w:tc>
        <w:tc>
          <w:tcPr>
            <w:tcW w:w="5492" w:type="dxa"/>
          </w:tcPr>
          <w:p w:rsidR="00D21A11" w:rsidRPr="00E1368E" w:rsidRDefault="00D21A11" w:rsidP="00D21A11">
            <w:pPr>
              <w:pStyle w:val="a5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Является единоличным исполнительным органом Открытого акционерного общества «Кондитерская фирма «ТАКФ»</w:t>
            </w:r>
          </w:p>
        </w:tc>
      </w:tr>
      <w:tr w:rsidR="00D21A11" w:rsidRPr="00E1368E" w:rsidTr="00D21A11">
        <w:tc>
          <w:tcPr>
            <w:tcW w:w="4928" w:type="dxa"/>
          </w:tcPr>
          <w:p w:rsidR="00D21A11" w:rsidRPr="00E1368E" w:rsidRDefault="00D21A11" w:rsidP="00D21A11">
            <w:pPr>
              <w:pStyle w:val="a5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  <w:u w:val="single"/>
              </w:rPr>
              <w:t>Контролирующее лицо Общества:</w:t>
            </w:r>
          </w:p>
          <w:p w:rsidR="00D21A11" w:rsidRPr="00E1368E" w:rsidRDefault="00D21A11" w:rsidP="00D21A11">
            <w:pPr>
              <w:pStyle w:val="a5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Акционерное общество «Холдинговая компания «Объединенные кондитеры»,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5492" w:type="dxa"/>
          </w:tcPr>
          <w:p w:rsidR="00D21A11" w:rsidRPr="00E1368E" w:rsidRDefault="00D21A11" w:rsidP="00D21A11">
            <w:pPr>
              <w:pStyle w:val="a5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Является контролирующим лицом Открытого акционерного общества «Кондитерская фирма «ТАКФ», имеющим право прямо распоряжаться более 50 % голосов в высшем органе управления Открытого акционерного общества «Кондитерская фирма «ТАКФ»</w:t>
            </w:r>
          </w:p>
        </w:tc>
      </w:tr>
    </w:tbl>
    <w:p w:rsidR="00957426" w:rsidRDefault="00957426" w:rsidP="002F732C">
      <w:pPr>
        <w:pStyle w:val="a5"/>
        <w:jc w:val="both"/>
        <w:rPr>
          <w:sz w:val="23"/>
          <w:szCs w:val="23"/>
        </w:rPr>
      </w:pPr>
    </w:p>
    <w:p w:rsidR="00A432C6" w:rsidRPr="00E1368E" w:rsidRDefault="00D64D9F" w:rsidP="002F732C">
      <w:pPr>
        <w:pStyle w:val="a5"/>
        <w:jc w:val="both"/>
        <w:rPr>
          <w:sz w:val="23"/>
          <w:szCs w:val="23"/>
        </w:rPr>
      </w:pPr>
      <w:r w:rsidRPr="00E1368E">
        <w:rPr>
          <w:sz w:val="23"/>
          <w:szCs w:val="23"/>
        </w:rPr>
        <w:t>0</w:t>
      </w:r>
      <w:r w:rsidR="0046246D">
        <w:rPr>
          <w:sz w:val="23"/>
          <w:szCs w:val="23"/>
        </w:rPr>
        <w:t>6</w:t>
      </w:r>
      <w:r w:rsidRPr="00E1368E">
        <w:rPr>
          <w:sz w:val="23"/>
          <w:szCs w:val="23"/>
        </w:rPr>
        <w:t xml:space="preserve"> </w:t>
      </w:r>
      <w:r w:rsidR="00E1368E" w:rsidRPr="00E1368E">
        <w:rPr>
          <w:sz w:val="23"/>
          <w:szCs w:val="23"/>
        </w:rPr>
        <w:t>апреля</w:t>
      </w:r>
      <w:r w:rsidR="004E571B" w:rsidRPr="00E1368E">
        <w:rPr>
          <w:sz w:val="23"/>
          <w:szCs w:val="23"/>
        </w:rPr>
        <w:t xml:space="preserve"> 202</w:t>
      </w:r>
      <w:r w:rsidR="00E1368E" w:rsidRPr="00E1368E">
        <w:rPr>
          <w:sz w:val="23"/>
          <w:szCs w:val="23"/>
        </w:rPr>
        <w:t>3</w:t>
      </w:r>
      <w:r w:rsidR="004E571B" w:rsidRPr="00E1368E">
        <w:rPr>
          <w:sz w:val="23"/>
          <w:szCs w:val="23"/>
        </w:rPr>
        <w:t xml:space="preserve"> года</w:t>
      </w:r>
    </w:p>
    <w:sectPr w:rsidR="00A432C6" w:rsidRPr="00E1368E" w:rsidSect="00D64D9F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D5530"/>
    <w:rsid w:val="000E4724"/>
    <w:rsid w:val="000E4A75"/>
    <w:rsid w:val="000E62A4"/>
    <w:rsid w:val="000F1C2B"/>
    <w:rsid w:val="00102171"/>
    <w:rsid w:val="00104BAF"/>
    <w:rsid w:val="00155A5E"/>
    <w:rsid w:val="00161231"/>
    <w:rsid w:val="00161D54"/>
    <w:rsid w:val="00163981"/>
    <w:rsid w:val="001725F6"/>
    <w:rsid w:val="00175E50"/>
    <w:rsid w:val="001A16DD"/>
    <w:rsid w:val="001A3DC0"/>
    <w:rsid w:val="001B3868"/>
    <w:rsid w:val="001D1C86"/>
    <w:rsid w:val="001D30AB"/>
    <w:rsid w:val="001E53FA"/>
    <w:rsid w:val="001E7611"/>
    <w:rsid w:val="001F6DD9"/>
    <w:rsid w:val="002014ED"/>
    <w:rsid w:val="002140A4"/>
    <w:rsid w:val="0021613A"/>
    <w:rsid w:val="00216643"/>
    <w:rsid w:val="00222D77"/>
    <w:rsid w:val="00246592"/>
    <w:rsid w:val="002512B7"/>
    <w:rsid w:val="0027485D"/>
    <w:rsid w:val="00280081"/>
    <w:rsid w:val="00283D18"/>
    <w:rsid w:val="00290948"/>
    <w:rsid w:val="00290A12"/>
    <w:rsid w:val="002C6E1C"/>
    <w:rsid w:val="002D6B05"/>
    <w:rsid w:val="002F732C"/>
    <w:rsid w:val="00311741"/>
    <w:rsid w:val="003151DE"/>
    <w:rsid w:val="003178FF"/>
    <w:rsid w:val="003213C9"/>
    <w:rsid w:val="0032612A"/>
    <w:rsid w:val="00332463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17BB3"/>
    <w:rsid w:val="00431CEF"/>
    <w:rsid w:val="00432EE0"/>
    <w:rsid w:val="00437794"/>
    <w:rsid w:val="004418E5"/>
    <w:rsid w:val="0046246D"/>
    <w:rsid w:val="00472D4B"/>
    <w:rsid w:val="00485F25"/>
    <w:rsid w:val="004902E0"/>
    <w:rsid w:val="004929D3"/>
    <w:rsid w:val="004A1BA3"/>
    <w:rsid w:val="004B0E5F"/>
    <w:rsid w:val="004C4726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52A81"/>
    <w:rsid w:val="00560AC4"/>
    <w:rsid w:val="00566B3C"/>
    <w:rsid w:val="005918EB"/>
    <w:rsid w:val="005A1419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668D"/>
    <w:rsid w:val="006C428F"/>
    <w:rsid w:val="006D6B86"/>
    <w:rsid w:val="006E2E60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2930"/>
    <w:rsid w:val="0082308E"/>
    <w:rsid w:val="00835695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E0509"/>
    <w:rsid w:val="008F012C"/>
    <w:rsid w:val="0091617E"/>
    <w:rsid w:val="00925EC5"/>
    <w:rsid w:val="00936362"/>
    <w:rsid w:val="00942090"/>
    <w:rsid w:val="00944800"/>
    <w:rsid w:val="00953C53"/>
    <w:rsid w:val="00956E7E"/>
    <w:rsid w:val="00957426"/>
    <w:rsid w:val="00965612"/>
    <w:rsid w:val="009711FF"/>
    <w:rsid w:val="009A05DF"/>
    <w:rsid w:val="009A11A9"/>
    <w:rsid w:val="009A196E"/>
    <w:rsid w:val="00A2783A"/>
    <w:rsid w:val="00A301F9"/>
    <w:rsid w:val="00A35C38"/>
    <w:rsid w:val="00A404FE"/>
    <w:rsid w:val="00A432C6"/>
    <w:rsid w:val="00AA6197"/>
    <w:rsid w:val="00AC3E0C"/>
    <w:rsid w:val="00AE56FD"/>
    <w:rsid w:val="00B100E1"/>
    <w:rsid w:val="00B3226B"/>
    <w:rsid w:val="00B41EE8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5546F"/>
    <w:rsid w:val="00C57795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1A11"/>
    <w:rsid w:val="00D26A6A"/>
    <w:rsid w:val="00D33974"/>
    <w:rsid w:val="00D35408"/>
    <w:rsid w:val="00D53323"/>
    <w:rsid w:val="00D64D9F"/>
    <w:rsid w:val="00D72720"/>
    <w:rsid w:val="00D72D3B"/>
    <w:rsid w:val="00DC7E6D"/>
    <w:rsid w:val="00DD1A8D"/>
    <w:rsid w:val="00DD6831"/>
    <w:rsid w:val="00DE278B"/>
    <w:rsid w:val="00E024FE"/>
    <w:rsid w:val="00E1368E"/>
    <w:rsid w:val="00E216C4"/>
    <w:rsid w:val="00E22429"/>
    <w:rsid w:val="00E24EEB"/>
    <w:rsid w:val="00E25199"/>
    <w:rsid w:val="00E25891"/>
    <w:rsid w:val="00E31713"/>
    <w:rsid w:val="00E318BE"/>
    <w:rsid w:val="00E9585E"/>
    <w:rsid w:val="00EB4837"/>
    <w:rsid w:val="00EC7B6E"/>
    <w:rsid w:val="00EE2CF2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B4F09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6</cp:revision>
  <cp:lastPrinted>2020-01-23T10:18:00Z</cp:lastPrinted>
  <dcterms:created xsi:type="dcterms:W3CDTF">2022-07-05T07:54:00Z</dcterms:created>
  <dcterms:modified xsi:type="dcterms:W3CDTF">2023-04-06T04:35:00Z</dcterms:modified>
</cp:coreProperties>
</file>