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CD" w:rsidRPr="00D416F0" w:rsidRDefault="00D416F0" w:rsidP="00D416F0">
      <w:pPr>
        <w:tabs>
          <w:tab w:val="left" w:pos="0"/>
        </w:tabs>
        <w:spacing w:after="0" w:line="240" w:lineRule="auto"/>
        <w:ind w:right="-3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 О КОНФИДЕНЦИАЛЬНОСТИ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F5D4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 20</w:t>
      </w:r>
      <w:r w:rsidR="006E2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C53" w:rsidRPr="00D416F0" w:rsidRDefault="000F5D46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«Кондитерская фирма «ТАКФ»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62FF2" w:rsidRPr="00D416F0">
        <w:rPr>
          <w:rFonts w:ascii="Times New Roman" w:hAnsi="Times New Roman" w:cs="Times New Roman"/>
          <w:sz w:val="24"/>
          <w:szCs w:val="24"/>
        </w:rPr>
        <w:t xml:space="preserve"> Заместителя генерального директора - исполнительного директора Управляющей организации ООО «Объединенные кондитеры» </w:t>
      </w:r>
      <w:proofErr w:type="spellStart"/>
      <w:r w:rsidR="00A62FF2" w:rsidRPr="00D416F0">
        <w:rPr>
          <w:rFonts w:ascii="Times New Roman" w:hAnsi="Times New Roman" w:cs="Times New Roman"/>
          <w:sz w:val="24"/>
          <w:szCs w:val="24"/>
        </w:rPr>
        <w:t>Саликова</w:t>
      </w:r>
      <w:proofErr w:type="spellEnd"/>
      <w:r w:rsidR="00A62FF2" w:rsidRPr="00D416F0">
        <w:rPr>
          <w:rFonts w:ascii="Times New Roman" w:hAnsi="Times New Roman" w:cs="Times New Roman"/>
          <w:sz w:val="24"/>
          <w:szCs w:val="24"/>
        </w:rPr>
        <w:t xml:space="preserve"> Александра Анатольевича, действующего на основании договора о передаче полномочий единоличного исполнительного органа №109-юд от 17.06.2004г. и Доверенности от 12</w:t>
      </w:r>
      <w:r w:rsidR="00A62FF2" w:rsidRPr="00D416F0">
        <w:rPr>
          <w:rFonts w:ascii="Times New Roman" w:hAnsi="Times New Roman" w:cs="Times New Roman"/>
          <w:color w:val="000000"/>
          <w:sz w:val="24"/>
          <w:szCs w:val="24"/>
        </w:rPr>
        <w:t>.12.2023г</w:t>
      </w:r>
      <w:r w:rsidR="00A62FF2" w:rsidRPr="00D416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62FF2" w:rsidRPr="00D416F0">
        <w:rPr>
          <w:rFonts w:ascii="Times New Roman" w:hAnsi="Times New Roman" w:cs="Times New Roman"/>
          <w:sz w:val="24"/>
          <w:szCs w:val="24"/>
        </w:rPr>
        <w:t>, с одной стороны,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акционер 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«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11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62F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действующего на основании _________________________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6D152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711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</w:t>
      </w:r>
      <w:proofErr w:type="gramEnd"/>
    </w:p>
    <w:p w:rsidR="008867CE" w:rsidRPr="00D416F0" w:rsidRDefault="00C050CD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получением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требования акционера ____________________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33E1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4A90" w:rsidRPr="00D41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Наименование/</w:t>
      </w:r>
      <w:r w:rsidRPr="00D41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о </w:t>
      </w:r>
      <w:r w:rsidR="00933E1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33E1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A7115" w:rsidRPr="00D41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целях</w:t>
      </w:r>
      <w:r w:rsidR="004A7115"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952C33" w:rsidRPr="00D416F0" w:rsidRDefault="008867CE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</w:t>
      </w:r>
      <w:r w:rsidR="004A7115" w:rsidRPr="00D416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050CD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</w:t>
      </w:r>
      <w:r w:rsidR="004A7115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для акционеров, владеющих менее чем 25% голосующих акций </w:t>
      </w:r>
      <w:r w:rsidR="00167B0B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ОАО «ТАКФ»</w:t>
      </w:r>
      <w:r w:rsidR="00952C33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указывается делов</w:t>
      </w:r>
      <w:r w:rsidR="001A2F8E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ая</w:t>
      </w:r>
      <w:r w:rsidR="00952C33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цель</w:t>
      </w:r>
      <w:r w:rsidR="00C050CD" w:rsidRPr="00D416F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)</w:t>
      </w:r>
    </w:p>
    <w:p w:rsidR="00C4784F" w:rsidRPr="00D416F0" w:rsidRDefault="00AC1F2A" w:rsidP="00D416F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Требование)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обсудив возможность предоставления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информации конфиденциального характера о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355E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05E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коммерческой деятельности и операциях, заключили настоящее соглашение о </w:t>
      </w:r>
      <w:proofErr w:type="gramStart"/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</w:t>
      </w:r>
      <w:proofErr w:type="gramEnd"/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ТЕРМИНЫ И ОПРЕДЕЛЕНИЯ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Соглашения Стороны соглашаются использовать следующие термины и определения:</w:t>
      </w:r>
    </w:p>
    <w:p w:rsidR="00B64F3B" w:rsidRPr="00D416F0" w:rsidRDefault="00CD1CA5" w:rsidP="00D416F0">
      <w:pPr>
        <w:pStyle w:val="aa"/>
        <w:numPr>
          <w:ilvl w:val="1"/>
          <w:numId w:val="2"/>
        </w:numPr>
        <w:tabs>
          <w:tab w:val="left" w:pos="567"/>
        </w:tabs>
        <w:spacing w:after="0" w:line="240" w:lineRule="auto"/>
        <w:ind w:left="0" w:right="-2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информация и документы, передаваемые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соответствии со статьей 91 Федерального закона от 26.12.1995 </w:t>
      </w:r>
      <w:r w:rsidR="00933E1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8-ФЗ «Об акционерных обществах».</w:t>
      </w:r>
    </w:p>
    <w:p w:rsidR="00C050CD" w:rsidRPr="00D416F0" w:rsidRDefault="00CD1CA5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C050CD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Конфиденциальная информация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сведения (сообщения, данные) о лицах, предметах, фактах, событиях, явлениях и процессах,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содержащиеся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64F3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82F8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окументах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включая, </w:t>
      </w:r>
      <w:proofErr w:type="gramStart"/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ограничиваясь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коммерческую тайну</w:t>
      </w:r>
      <w:r w:rsidR="00AB2696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информацию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обозначенную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Конфиденциальной информации или на которую имеется ссылка как на Конфиденциальную информацию.</w:t>
      </w:r>
      <w:r w:rsidR="00C4784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Документы, которые требует предоставить акционер, содержат иную охраняемую законом тайну,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«</w:t>
      </w:r>
      <w:r w:rsidR="000827F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952C3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вправе предоставить выписки из таких Документов, исключив соответствующую информацию.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Стороны</w:t>
      </w:r>
      <w:r w:rsidR="00462C3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73EB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ТАКФ» (</w:t>
      </w:r>
      <w:r w:rsidR="00462C3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r w:rsidR="00462C32" w:rsidRPr="00D416F0">
        <w:rPr>
          <w:rFonts w:ascii="Times New Roman" w:hAnsi="Times New Roman" w:cs="Times New Roman"/>
          <w:bCs/>
          <w:sz w:val="24"/>
          <w:szCs w:val="24"/>
        </w:rPr>
        <w:t>1026801156568</w:t>
      </w:r>
      <w:r w:rsidR="00D416F0" w:rsidRPr="00D416F0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462C3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Передающая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473EB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0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передающее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</w:t>
      </w:r>
      <w:r w:rsid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Конфиденциальную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D1CA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0827F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proofErr w:type="spell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proofErr w:type="spellEnd"/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746B3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Передающей Стороны на условиях Соглашения Конфиденциальную информацию.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 лица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не </w:t>
      </w:r>
      <w:r w:rsidR="002C2F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являющиеся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</w:t>
      </w:r>
      <w:r w:rsidR="002C2F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67C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Разглашение Конфиденциальной информации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действие или бездействие Получающей Стороны, в результате которого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Передающей Стороны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случаев, указанных в пункте 3.3 настоящего Соглашения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Соглашение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означает настоящее </w:t>
      </w:r>
      <w:r w:rsidR="00144DEF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оглашение о конфиденциальности с учетом изменений и дополнений, которые могут быть внесены 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него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ПРЕДМЕТ СОГЛАШЕНИЯ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Соглашение распространяется на</w:t>
      </w:r>
      <w:r w:rsidR="004703EC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Конфиденциальную информацию,</w:t>
      </w:r>
      <w:r w:rsidR="004703EC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01E5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содержащуюся в Документах 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передаваемую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</w:t>
      </w:r>
      <w:r w:rsidR="00AC1F2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получением Требования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Передача Конфиденциальной информации 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Требования может осуществляться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документов для ознакомления по адресу места нахождения исполнительного органа Передающей стороны или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копий Документов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83E5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бумажном носителе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содержащих отметку о конфиденциальности (грифы «Конфиденциальная информация», «Конфиденциально»)</w:t>
      </w:r>
      <w:r w:rsidR="00340CE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подписанием Акта приема-передачи Конфиденциальной информации</w:t>
      </w:r>
      <w:r w:rsidR="005F225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 к Соглашению)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3EC" w:rsidRPr="00D416F0" w:rsidRDefault="00A31F9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Конфиденциальной информации 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способами, не предусмотренными пунктом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Соглашения, запрещается.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3. ПРАВА И ОБЯЗАННОСТИ СТОРОН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Получающая Сторона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вправе предостав</w:t>
      </w:r>
      <w:r w:rsidR="00A901B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ь доступ к полученной по Соглашению Конфиденциальной информации Третьим лицам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передавать Третьим лицам полностью или частично свои права и обязанности по Соглашению без предварительного письменного согласия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«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Получающая Сторона соглашается, что Конфиденциальная информация будет использована исключительно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05D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реализации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1F9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Получающей 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стороной 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прав как акционера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Получающая сторона сохран</w:t>
      </w:r>
      <w:r w:rsidR="004E0C53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конфиденциальность такой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эта информация не будет раскрыта или передана Третьим лицам. Получающая Сторона обязуется обеспечить защиту переданной Конфиденциальной информации на уровне не меньшем, чем осуществляется защита </w:t>
      </w:r>
      <w:r w:rsidR="00A2520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к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онфиденциальной информации Получающей Стороны.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случае получения мотивированного требования от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уполномоченного в соответствии с действующим законодательством Российской Федерации на получение запрашиваемой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информации, Получающая Сторона обязана уведомить соответствующий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компетентный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 конфиденциальности такой информац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обладателе.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вышеуказанного требования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Конфиденциальной информации Получающая Сторона обязана незамедлительно известить о таком требовании 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АО 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84E91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ТАКФ</w:t>
      </w:r>
      <w:r w:rsidR="00554A9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Передающая Сторона имела возможность принять меры в порядке защиты, ограничения или предотвращения подобной передачи или </w:t>
      </w:r>
      <w:r w:rsidR="00B55B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раскрытия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информации, насколько это допускается законом.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Получающая Сторона имеет право раскрыть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уполномоченному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органу лишь ту часть полученной от Передающей Стороны Конфиденциальной информации, раскрытие которой требуется </w:t>
      </w:r>
      <w:r w:rsidR="00340CEB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действующему законодательству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5E70" w:rsidRPr="00D416F0" w:rsidRDefault="002518EA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Разглашении Конфиденциальной информации, а также при наличии обстоятельств, способствующих Разглашению Конфиденциальной информации, Получающая Сторона обязана незамедлительно уведомить об этом Передающую Сторону, предоставить Передающей Стороне всю необходимую информацию о факте Разглашения Конфиденциальной информации или наличии угрозы Разглашения Конфиденциальной информации, причинах, приведших к этому, и мерах, предпринятых Получающей Стороной для предотвращения Разглашения Конфиденциальной информации и устранения возникших в связи с этим</w:t>
      </w:r>
      <w:proofErr w:type="gramEnd"/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неблагоприятных последствий.</w:t>
      </w:r>
    </w:p>
    <w:p w:rsidR="002518EA" w:rsidRPr="00D416F0" w:rsidRDefault="00965E70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Передающая Сторона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защиту </w:t>
      </w:r>
      <w:r w:rsidR="00D416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конфиденциальности,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переданной по Соглашению Конфиденциальной информации, о чем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уведомить Получающую Сторону.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D416F0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Соглашения и обязана 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уплатить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Передающей Стороне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в размере </w:t>
      </w:r>
      <w:r w:rsidR="00D31477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500 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D31477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за каждый факт Разглашения Конфиденциальной информации, а также не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покрытые штрафом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убытки, возникшие у Передающей Стороны вследствие ненадлежащего исполнения Получающей Стороной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Соглашения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Получающая Сторона несет ответственность в полном объеме за </w:t>
      </w:r>
      <w:r w:rsidR="00246409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Разглашение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Конфиденциальной информации ее </w:t>
      </w:r>
      <w:r w:rsidR="000258B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представителями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Третьими лицами, получившими доступ к такой информации.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РАЗРЕШЕНИЕ СПОРОВ</w:t>
      </w:r>
    </w:p>
    <w:p w:rsidR="00C050CD" w:rsidRPr="00D416F0" w:rsidRDefault="008867CE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5.</w:t>
      </w:r>
      <w:r w:rsidR="00D416F0" w:rsidRPr="00D416F0">
        <w:rPr>
          <w:rFonts w:ascii="Times New Roman" w:eastAsia="Calibri" w:hAnsi="Times New Roman" w:cs="Times New Roman"/>
          <w:sz w:val="24"/>
          <w:szCs w:val="24"/>
        </w:rPr>
        <w:t>1. Отношения</w:t>
      </w:r>
      <w:r w:rsidR="00C050CD" w:rsidRPr="00D416F0">
        <w:rPr>
          <w:rFonts w:ascii="Times New Roman" w:eastAsia="Calibri" w:hAnsi="Times New Roman" w:cs="Times New Roman"/>
          <w:sz w:val="24"/>
          <w:szCs w:val="24"/>
        </w:rPr>
        <w:t>, возникающие из Соглашения, регулируются правом Российской Федерации.</w:t>
      </w:r>
    </w:p>
    <w:p w:rsidR="00C050CD" w:rsidRPr="00D416F0" w:rsidRDefault="00C050CD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Все споры и разногласия по Соглашению Стороны будут рассматривать предварительно в претензионном порядке. Срок рассмотрения </w:t>
      </w:r>
      <w:r w:rsidR="000A383B" w:rsidRPr="00D416F0">
        <w:rPr>
          <w:rFonts w:ascii="Times New Roman" w:eastAsia="Calibri" w:hAnsi="Times New Roman" w:cs="Times New Roman"/>
          <w:sz w:val="24"/>
          <w:szCs w:val="24"/>
        </w:rPr>
        <w:t xml:space="preserve">письменной 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претензии </w:t>
      </w:r>
      <w:r w:rsidR="00965E70" w:rsidRPr="00D416F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D416F0">
        <w:rPr>
          <w:rFonts w:ascii="Times New Roman" w:eastAsia="Calibri" w:hAnsi="Times New Roman" w:cs="Times New Roman"/>
          <w:sz w:val="24"/>
          <w:szCs w:val="24"/>
        </w:rPr>
        <w:t>10</w:t>
      </w:r>
      <w:r w:rsidR="00965E70" w:rsidRPr="00D416F0">
        <w:rPr>
          <w:rFonts w:ascii="Times New Roman" w:eastAsia="Calibri" w:hAnsi="Times New Roman" w:cs="Times New Roman"/>
          <w:sz w:val="24"/>
          <w:szCs w:val="24"/>
        </w:rPr>
        <w:t> </w:t>
      </w:r>
      <w:r w:rsidRPr="00D416F0">
        <w:rPr>
          <w:rFonts w:ascii="Times New Roman" w:eastAsia="Calibri" w:hAnsi="Times New Roman" w:cs="Times New Roman"/>
          <w:sz w:val="24"/>
          <w:szCs w:val="24"/>
        </w:rPr>
        <w:t>(десять) рабочих дней с момента ее получения.</w:t>
      </w:r>
    </w:p>
    <w:p w:rsidR="00C050CD" w:rsidRPr="00D416F0" w:rsidRDefault="00C050CD" w:rsidP="00D416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5.3. В случае если споры и разногласия не урегулированы в претензионно</w:t>
      </w:r>
      <w:r w:rsidR="00A705DA" w:rsidRPr="00D416F0">
        <w:rPr>
          <w:rFonts w:ascii="Times New Roman" w:eastAsia="Calibri" w:hAnsi="Times New Roman" w:cs="Times New Roman"/>
          <w:sz w:val="24"/>
          <w:szCs w:val="24"/>
        </w:rPr>
        <w:t>м порядке в сроки, определенные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 в п.</w:t>
      </w:r>
      <w:r w:rsidR="00B55BF0" w:rsidRPr="00D41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5.2 Соглашения, каждая из Сторон вправе обратиться с иском о разрешении спора </w:t>
      </w:r>
      <w:r w:rsidR="00473EB3" w:rsidRPr="00D416F0">
        <w:rPr>
          <w:rFonts w:ascii="Times New Roman" w:eastAsia="Calibri" w:hAnsi="Times New Roman" w:cs="Times New Roman"/>
          <w:sz w:val="24"/>
          <w:szCs w:val="24"/>
        </w:rPr>
        <w:t xml:space="preserve">в Арбитражный </w:t>
      </w:r>
      <w:r w:rsidR="00D416F0">
        <w:rPr>
          <w:rFonts w:ascii="Times New Roman" w:eastAsia="Calibri" w:hAnsi="Times New Roman" w:cs="Times New Roman"/>
          <w:sz w:val="24"/>
          <w:szCs w:val="24"/>
        </w:rPr>
        <w:t xml:space="preserve">суд в соответствии с правилами подсудности, определяемыми действующим законодательством. 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СОГЛАШЕНИЯ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Соглашение вступает в силу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обеими Сторонами и действует в течение 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5E7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лет, </w:t>
      </w:r>
      <w:r w:rsidR="006C248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иной срок не указан Передающей стороной, </w:t>
      </w:r>
      <w:r w:rsidR="002F139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случае, если Конфиденциальная информация охраняется бессрочно – до получения письменного уведомления Передающей стороны о прекращении </w:t>
      </w:r>
      <w:r w:rsidR="00523EA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переданной Конфиденциальной информации</w:t>
      </w:r>
      <w:r w:rsidR="002F139E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1ABB" w:rsidRPr="00D416F0" w:rsidRDefault="004E1ABB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</w:t>
      </w:r>
    </w:p>
    <w:p w:rsidR="002518EA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55BF0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на русском языке в 2 (двух) экземплярах, имеющих равную юридическую силу, по одному для каждой из Сторон.</w:t>
      </w:r>
    </w:p>
    <w:p w:rsidR="00C050CD" w:rsidRPr="00D416F0" w:rsidRDefault="002518EA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C050CD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 по следующим адресам:</w:t>
      </w:r>
    </w:p>
    <w:p w:rsidR="00D328FB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16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Передающая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28FB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302000</w:t>
      </w:r>
      <w:r w:rsidR="00B55BF0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Российская Федерация, </w:t>
      </w:r>
      <w:proofErr w:type="spellStart"/>
      <w:r w:rsidR="00D328FB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="00D328FB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.Т</w:t>
      </w:r>
      <w:proofErr w:type="gramEnd"/>
      <w:r w:rsidR="00D328FB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амбов</w:t>
      </w:r>
      <w:proofErr w:type="spellEnd"/>
      <w:r w:rsidR="00D328FB" w:rsidRPr="00D416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ул. Октябрьская, д.22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MS Mincho" w:hAnsi="Times New Roman" w:cs="Times New Roman"/>
          <w:color w:val="000000"/>
          <w:spacing w:val="-10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Получающая Сторона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  <w:r w:rsidR="009E20F4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Соглашение представляет собой исчерпывающую договоренность Сторон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Соглашения все предыдущие переговоры и переписка по нему теряют силу.</w:t>
      </w:r>
    </w:p>
    <w:p w:rsidR="00CB2194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2518EA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Недействительность или невозможность исполнения любого положения Соглашения не влияет на действительность или возможность </w:t>
      </w:r>
      <w:proofErr w:type="gramStart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proofErr w:type="gramEnd"/>
      <w:r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любых иных положений Соглашения, так и Соглашения в целом.</w:t>
      </w:r>
    </w:p>
    <w:p w:rsidR="00CB2194" w:rsidRPr="00D416F0" w:rsidRDefault="00CB2194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4"/>
        </w:rPr>
      </w:pPr>
      <w:r w:rsidRPr="00D416F0">
        <w:rPr>
          <w:rFonts w:ascii="Times New Roman" w:hAnsi="Times New Roman" w:cs="Times New Roman"/>
          <w:sz w:val="24"/>
          <w:szCs w:val="24"/>
        </w:rPr>
        <w:t xml:space="preserve">7.5. Подписывая настоящий Договор, </w:t>
      </w:r>
      <w:r w:rsidR="0034559A" w:rsidRPr="00D416F0">
        <w:rPr>
          <w:rFonts w:ascii="Times New Roman" w:hAnsi="Times New Roman" w:cs="Times New Roman"/>
          <w:sz w:val="24"/>
          <w:szCs w:val="24"/>
        </w:rPr>
        <w:t>Передающая Сторона</w:t>
      </w:r>
      <w:r w:rsidRPr="00D416F0">
        <w:rPr>
          <w:rFonts w:ascii="Times New Roman" w:hAnsi="Times New Roman" w:cs="Times New Roman"/>
          <w:sz w:val="24"/>
          <w:szCs w:val="24"/>
        </w:rPr>
        <w:t xml:space="preserve"> тем самым информирует Принимающую </w:t>
      </w:r>
      <w:proofErr w:type="gramStart"/>
      <w:r w:rsidRPr="00D416F0">
        <w:rPr>
          <w:rFonts w:ascii="Times New Roman" w:hAnsi="Times New Roman" w:cs="Times New Roman"/>
          <w:sz w:val="24"/>
          <w:szCs w:val="24"/>
        </w:rPr>
        <w:t>Сторону</w:t>
      </w:r>
      <w:proofErr w:type="gramEnd"/>
      <w:r w:rsidRPr="00D416F0">
        <w:rPr>
          <w:rFonts w:ascii="Times New Roman" w:hAnsi="Times New Roman" w:cs="Times New Roman"/>
          <w:sz w:val="24"/>
          <w:szCs w:val="24"/>
        </w:rPr>
        <w:t xml:space="preserve"> </w:t>
      </w:r>
      <w:r w:rsidR="0034559A" w:rsidRPr="00D416F0">
        <w:rPr>
          <w:rFonts w:ascii="Times New Roman" w:hAnsi="Times New Roman" w:cs="Times New Roman"/>
          <w:sz w:val="24"/>
          <w:szCs w:val="24"/>
        </w:rPr>
        <w:t>что обработка</w:t>
      </w:r>
      <w:r w:rsidRPr="00D416F0">
        <w:rPr>
          <w:rFonts w:ascii="Times New Roman" w:hAnsi="Times New Roman" w:cs="Times New Roman"/>
          <w:sz w:val="24"/>
          <w:szCs w:val="24"/>
        </w:rPr>
        <w:t xml:space="preserve"> персональных данных Принимающей </w:t>
      </w:r>
      <w:r w:rsidR="0034559A" w:rsidRPr="00D416F0">
        <w:rPr>
          <w:rFonts w:ascii="Times New Roman" w:hAnsi="Times New Roman" w:cs="Times New Roman"/>
          <w:sz w:val="24"/>
          <w:szCs w:val="24"/>
        </w:rPr>
        <w:t>Стороны, регулируется</w:t>
      </w:r>
      <w:r w:rsidRPr="00D416F0">
        <w:rPr>
          <w:rFonts w:ascii="Times New Roman" w:hAnsi="Times New Roman" w:cs="Times New Roman"/>
          <w:sz w:val="24"/>
          <w:szCs w:val="24"/>
        </w:rPr>
        <w:t xml:space="preserve"> </w:t>
      </w:r>
      <w:r w:rsidR="00C32598" w:rsidRPr="00D416F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D416F0">
        <w:rPr>
          <w:rFonts w:ascii="Times New Roman" w:hAnsi="Times New Roman" w:cs="Times New Roman"/>
          <w:sz w:val="24"/>
          <w:szCs w:val="24"/>
        </w:rPr>
        <w:t>ст. 9 Федерального закона от 27.07.2006 № 152-ФЗ «О персонал</w:t>
      </w:r>
      <w:r w:rsidR="00C32598" w:rsidRPr="00D416F0">
        <w:rPr>
          <w:rFonts w:ascii="Times New Roman" w:hAnsi="Times New Roman" w:cs="Times New Roman"/>
          <w:sz w:val="24"/>
          <w:szCs w:val="24"/>
        </w:rPr>
        <w:t>ьных данных».</w:t>
      </w:r>
    </w:p>
    <w:p w:rsidR="00CB2194" w:rsidRPr="00D416F0" w:rsidRDefault="00CB2194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C050CD" w:rsidP="00D416F0">
      <w:pPr>
        <w:tabs>
          <w:tab w:val="left" w:pos="567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CD" w:rsidRPr="00D416F0" w:rsidRDefault="00A705DA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C050CD" w:rsidRPr="00D416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C050CD" w:rsidRPr="00D416F0" w:rsidTr="006715D0">
        <w:trPr>
          <w:trHeight w:val="993"/>
        </w:trPr>
        <w:tc>
          <w:tcPr>
            <w:tcW w:w="5070" w:type="dxa"/>
          </w:tcPr>
          <w:p w:rsidR="00C050CD" w:rsidRPr="00D416F0" w:rsidRDefault="00D328FB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Открытое акционерное обществ</w:t>
            </w:r>
            <w:r w:rsidR="008867CE"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 </w:t>
            </w:r>
          </w:p>
          <w:p w:rsidR="008867CE" w:rsidRPr="00D416F0" w:rsidRDefault="008867CE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«Кондитерская фирма «ТАКФ»</w:t>
            </w: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6E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 w:rsidR="00A705DA"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="00A705DA"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050CD" w:rsidRPr="00D416F0" w:rsidRDefault="00A705DA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Акционер (</w:t>
            </w:r>
            <w:r w:rsidR="000258BA"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Наименование/</w:t>
            </w:r>
            <w:r w:rsidRPr="00D416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Ф.И.О.)</w:t>
            </w:r>
          </w:p>
          <w:p w:rsidR="008867CE" w:rsidRPr="00D416F0" w:rsidRDefault="008867CE" w:rsidP="00D416F0">
            <w:pPr>
              <w:keepNext/>
              <w:tabs>
                <w:tab w:val="left" w:pos="567"/>
              </w:tabs>
              <w:spacing w:after="0" w:line="240" w:lineRule="auto"/>
              <w:ind w:right="-313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0CD" w:rsidRPr="00D416F0" w:rsidRDefault="00C050CD" w:rsidP="00D416F0">
            <w:pPr>
              <w:tabs>
                <w:tab w:val="left" w:pos="567"/>
              </w:tabs>
              <w:spacing w:after="0" w:line="240" w:lineRule="auto"/>
              <w:ind w:right="-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6E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 w:rsidR="00A705DA"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="00A705DA" w:rsidRPr="00D41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C050CD" w:rsidRPr="00D416F0" w:rsidRDefault="00C050CD" w:rsidP="00D416F0">
      <w:pPr>
        <w:tabs>
          <w:tab w:val="left" w:pos="567"/>
        </w:tabs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252" w:rsidRPr="00D416F0" w:rsidRDefault="005F2252" w:rsidP="00D416F0">
      <w:pPr>
        <w:ind w:left="6521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D416F0">
        <w:rPr>
          <w:rFonts w:ascii="Times New Roman" w:hAnsi="Times New Roman" w:cs="Times New Roman"/>
          <w:sz w:val="24"/>
          <w:szCs w:val="24"/>
        </w:rPr>
        <w:br w:type="page"/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lastRenderedPageBreak/>
        <w:t>Приложение №1</w:t>
      </w:r>
    </w:p>
    <w:p w:rsidR="005F2252" w:rsidRPr="00D416F0" w:rsidRDefault="006E2EA0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к Соглашению о конфиденциальности</w:t>
      </w:r>
    </w:p>
    <w:p w:rsidR="005F2252" w:rsidRPr="00D416F0" w:rsidRDefault="006E2EA0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№ 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________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от «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» </w:t>
      </w:r>
      <w:r w:rsidR="005F2252" w:rsidRPr="00D416F0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5F225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г.</w:t>
      </w:r>
    </w:p>
    <w:p w:rsidR="005F2252" w:rsidRPr="00D416F0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</w:p>
    <w:p w:rsidR="005F2252" w:rsidRPr="00D416F0" w:rsidRDefault="004055F2" w:rsidP="00D416F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Тамбов</w:t>
      </w:r>
    </w:p>
    <w:p w:rsidR="004055F2" w:rsidRPr="00D416F0" w:rsidRDefault="004055F2" w:rsidP="006E2E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ФОРМА АКТА ПРИЕМА-ПЕРЕДАЧИ</w:t>
      </w:r>
    </w:p>
    <w:p w:rsidR="004055F2" w:rsidRPr="00D416F0" w:rsidRDefault="004055F2" w:rsidP="006E2E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КОНФИДЕНЦИАЛЬНОЙ ИНФОРМАЦИИ</w:t>
      </w:r>
    </w:p>
    <w:p w:rsidR="005F2252" w:rsidRPr="00D416F0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F2252" w:rsidRPr="00D416F0" w:rsidRDefault="005F2252" w:rsidP="00D416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D416F0">
        <w:rPr>
          <w:rFonts w:ascii="Times New Roman" w:eastAsia="Calibri" w:hAnsi="Times New Roman" w:cs="Times New Roman"/>
          <w:b/>
          <w:sz w:val="24"/>
          <w:szCs w:val="24"/>
          <w:lang w:val="x-none"/>
        </w:rPr>
        <w:t>Акт приема-передачи Конфиденциальной информации</w:t>
      </w:r>
    </w:p>
    <w:p w:rsidR="005F2252" w:rsidRPr="00D416F0" w:rsidRDefault="005F225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В соответствии с Соглашением о конфиденциальности №______ от _____ 20</w:t>
      </w:r>
      <w:r w:rsidRPr="00D416F0">
        <w:rPr>
          <w:rFonts w:ascii="Times New Roman" w:eastAsia="Calibri" w:hAnsi="Times New Roman" w:cs="Times New Roman"/>
          <w:sz w:val="24"/>
          <w:szCs w:val="24"/>
        </w:rPr>
        <w:t>__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г. 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О</w:t>
      </w:r>
      <w:r w:rsidR="00C4784F" w:rsidRPr="00D416F0">
        <w:rPr>
          <w:rFonts w:ascii="Times New Roman" w:eastAsia="Calibri" w:hAnsi="Times New Roman" w:cs="Times New Roman"/>
          <w:sz w:val="24"/>
          <w:szCs w:val="24"/>
        </w:rPr>
        <w:t>АО 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«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ТАКФ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передало 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акционеру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_____________</w:t>
      </w:r>
      <w:r w:rsidR="00C32598" w:rsidRPr="00D416F0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_ 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55F2" w:rsidRPr="00D416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Наименование/Ф.И.О.</w:t>
      </w:r>
      <w:r w:rsidR="004055F2" w:rsidRPr="00D416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416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55F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нижеуказанн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ую</w:t>
      </w:r>
      <w:r w:rsidR="004055F2"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 w:rsidR="00C4784F" w:rsidRPr="00D416F0">
        <w:rPr>
          <w:rFonts w:ascii="Times New Roman" w:eastAsia="Calibri" w:hAnsi="Times New Roman" w:cs="Times New Roman"/>
          <w:sz w:val="24"/>
          <w:szCs w:val="24"/>
        </w:rPr>
        <w:t xml:space="preserve">Конфиденциальную </w:t>
      </w:r>
      <w:r w:rsidR="004055F2" w:rsidRPr="00D416F0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>:</w:t>
      </w: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2126"/>
      </w:tblGrid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передаваемой </w:t>
            </w:r>
            <w:r w:rsidR="00C4784F"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Конфиденциальной </w:t>
            </w: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информации 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листов </w:t>
            </w: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6A58" w:rsidRPr="00D416F0" w:rsidTr="00166A58">
        <w:tc>
          <w:tcPr>
            <w:tcW w:w="56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66A58" w:rsidRPr="00D416F0" w:rsidRDefault="00166A5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252" w:rsidRPr="00D416F0" w:rsidRDefault="005F2252" w:rsidP="00D416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16F0">
        <w:rPr>
          <w:rFonts w:ascii="Times New Roman" w:eastAsia="Calibri" w:hAnsi="Times New Roman" w:cs="Times New Roman"/>
          <w:sz w:val="24"/>
          <w:szCs w:val="24"/>
        </w:rPr>
        <w:t>Настоящий Акт</w:t>
      </w:r>
      <w:r w:rsidRPr="00D416F0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составлен в двух экземплярах, имеющих равную юридическую силу, по одному для каждой </w:t>
      </w:r>
      <w:r w:rsidRPr="00D416F0">
        <w:rPr>
          <w:rFonts w:ascii="Times New Roman" w:eastAsia="Calibri" w:hAnsi="Times New Roman" w:cs="Times New Roman"/>
          <w:sz w:val="24"/>
          <w:szCs w:val="24"/>
        </w:rPr>
        <w:t>Стороны.</w:t>
      </w:r>
    </w:p>
    <w:p w:rsidR="004055F2" w:rsidRPr="00D416F0" w:rsidRDefault="004055F2" w:rsidP="00D416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5F2" w:rsidRPr="00D416F0" w:rsidRDefault="004055F2" w:rsidP="00D416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16F0">
        <w:rPr>
          <w:rFonts w:ascii="Times New Roman" w:eastAsia="Calibri" w:hAnsi="Times New Roman" w:cs="Times New Roman"/>
          <w:b/>
          <w:bCs/>
          <w:sz w:val="24"/>
          <w:szCs w:val="24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4055F2" w:rsidRPr="00D416F0" w:rsidTr="00387818">
        <w:trPr>
          <w:trHeight w:val="993"/>
        </w:trPr>
        <w:tc>
          <w:tcPr>
            <w:tcW w:w="5070" w:type="dxa"/>
          </w:tcPr>
          <w:p w:rsidR="00C32598" w:rsidRPr="00D416F0" w:rsidRDefault="00C3259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Открытое акционерное общество</w:t>
            </w:r>
          </w:p>
          <w:p w:rsidR="004055F2" w:rsidRPr="00D416F0" w:rsidRDefault="00C3259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«Кондитерская фирма «ТАКФ»                      </w:t>
            </w: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6E2EA0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/Ф.И.О./</w:t>
            </w: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32598" w:rsidRPr="00D416F0" w:rsidRDefault="00C32598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Акционер (Наименование/Ф.И.О.)</w:t>
            </w: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055F2" w:rsidRPr="00D416F0" w:rsidRDefault="004055F2" w:rsidP="00D416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6E2EA0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D416F0">
              <w:rPr>
                <w:rFonts w:ascii="Times New Roman" w:eastAsia="Calibri" w:hAnsi="Times New Roman" w:cs="Times New Roman"/>
                <w:sz w:val="24"/>
                <w:szCs w:val="24"/>
              </w:rPr>
              <w:t>_ /Ф.И.О./</w:t>
            </w:r>
          </w:p>
        </w:tc>
      </w:tr>
    </w:tbl>
    <w:p w:rsidR="005F2252" w:rsidRPr="00D416F0" w:rsidRDefault="005F2252" w:rsidP="00D416F0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A6E" w:rsidRDefault="00BD3A6E" w:rsidP="00D416F0">
      <w:pPr>
        <w:tabs>
          <w:tab w:val="left" w:pos="567"/>
        </w:tabs>
        <w:jc w:val="both"/>
      </w:pPr>
    </w:p>
    <w:sectPr w:rsidR="00BD3A6E" w:rsidSect="00C4784F">
      <w:headerReference w:type="default" r:id="rId8"/>
      <w:footerReference w:type="even" r:id="rId9"/>
      <w:footerReference w:type="default" r:id="rId10"/>
      <w:pgSz w:w="11906" w:h="16838"/>
      <w:pgMar w:top="851" w:right="424" w:bottom="142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91" w:rsidRDefault="008B5E91">
      <w:pPr>
        <w:spacing w:after="0" w:line="240" w:lineRule="auto"/>
      </w:pPr>
      <w:r>
        <w:separator/>
      </w:r>
    </w:p>
  </w:endnote>
  <w:endnote w:type="continuationSeparator" w:id="0">
    <w:p w:rsidR="008B5E91" w:rsidRDefault="008B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1C" w:rsidRDefault="00A705DA" w:rsidP="00002539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181C" w:rsidRDefault="008B5E91" w:rsidP="006715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1C" w:rsidRDefault="008B5E91" w:rsidP="00DE34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91" w:rsidRDefault="008B5E91">
      <w:pPr>
        <w:spacing w:after="0" w:line="240" w:lineRule="auto"/>
      </w:pPr>
      <w:r>
        <w:separator/>
      </w:r>
    </w:p>
  </w:footnote>
  <w:footnote w:type="continuationSeparator" w:id="0">
    <w:p w:rsidR="008B5E91" w:rsidRDefault="008B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81C" w:rsidRPr="00133ED8" w:rsidRDefault="00A705DA" w:rsidP="00303914">
    <w:pPr>
      <w:pStyle w:val="a5"/>
      <w:framePr w:wrap="auto" w:vAnchor="text" w:hAnchor="margin" w:xAlign="center" w:y="1"/>
      <w:rPr>
        <w:rStyle w:val="a7"/>
        <w:sz w:val="26"/>
        <w:szCs w:val="26"/>
      </w:rPr>
    </w:pPr>
    <w:r w:rsidRPr="00133ED8">
      <w:rPr>
        <w:rStyle w:val="a7"/>
        <w:sz w:val="26"/>
        <w:szCs w:val="26"/>
      </w:rPr>
      <w:fldChar w:fldCharType="begin"/>
    </w:r>
    <w:r w:rsidRPr="00133ED8">
      <w:rPr>
        <w:rStyle w:val="a7"/>
        <w:sz w:val="26"/>
        <w:szCs w:val="26"/>
      </w:rPr>
      <w:instrText xml:space="preserve">PAGE  </w:instrText>
    </w:r>
    <w:r w:rsidRPr="00133ED8">
      <w:rPr>
        <w:rStyle w:val="a7"/>
        <w:sz w:val="26"/>
        <w:szCs w:val="26"/>
      </w:rPr>
      <w:fldChar w:fldCharType="separate"/>
    </w:r>
    <w:r w:rsidR="006E2EA0">
      <w:rPr>
        <w:rStyle w:val="a7"/>
        <w:noProof/>
        <w:sz w:val="26"/>
        <w:szCs w:val="26"/>
      </w:rPr>
      <w:t>3</w:t>
    </w:r>
    <w:r w:rsidRPr="00133ED8">
      <w:rPr>
        <w:rStyle w:val="a7"/>
        <w:sz w:val="26"/>
        <w:szCs w:val="26"/>
      </w:rPr>
      <w:fldChar w:fldCharType="end"/>
    </w:r>
  </w:p>
  <w:p w:rsidR="000E181C" w:rsidRDefault="008B5E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677"/>
    <w:multiLevelType w:val="multilevel"/>
    <w:tmpl w:val="EE84FA9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237074D"/>
    <w:multiLevelType w:val="hybridMultilevel"/>
    <w:tmpl w:val="7CC04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C8"/>
    <w:rsid w:val="00010E0F"/>
    <w:rsid w:val="000258BA"/>
    <w:rsid w:val="000671DC"/>
    <w:rsid w:val="000827F9"/>
    <w:rsid w:val="000A2F4A"/>
    <w:rsid w:val="000A383B"/>
    <w:rsid w:val="000E0D87"/>
    <w:rsid w:val="000F5D46"/>
    <w:rsid w:val="0014291A"/>
    <w:rsid w:val="00144DEF"/>
    <w:rsid w:val="00166A58"/>
    <w:rsid w:val="00167B0B"/>
    <w:rsid w:val="001A2F8E"/>
    <w:rsid w:val="00246409"/>
    <w:rsid w:val="0024666E"/>
    <w:rsid w:val="002518EA"/>
    <w:rsid w:val="002860B9"/>
    <w:rsid w:val="0028747F"/>
    <w:rsid w:val="002C2FE5"/>
    <w:rsid w:val="002F139E"/>
    <w:rsid w:val="0031763F"/>
    <w:rsid w:val="00340CEB"/>
    <w:rsid w:val="0034559A"/>
    <w:rsid w:val="00355E52"/>
    <w:rsid w:val="0037441B"/>
    <w:rsid w:val="0038155D"/>
    <w:rsid w:val="0038526F"/>
    <w:rsid w:val="003F013C"/>
    <w:rsid w:val="004055F2"/>
    <w:rsid w:val="0044768C"/>
    <w:rsid w:val="0045261B"/>
    <w:rsid w:val="00462C32"/>
    <w:rsid w:val="004703EC"/>
    <w:rsid w:val="00473EB3"/>
    <w:rsid w:val="004A7115"/>
    <w:rsid w:val="004E0C53"/>
    <w:rsid w:val="004E1ABB"/>
    <w:rsid w:val="00523EA4"/>
    <w:rsid w:val="00554A90"/>
    <w:rsid w:val="0058068A"/>
    <w:rsid w:val="005A01E5"/>
    <w:rsid w:val="005C7DC4"/>
    <w:rsid w:val="005F2252"/>
    <w:rsid w:val="00653AE2"/>
    <w:rsid w:val="00681C9F"/>
    <w:rsid w:val="006C248A"/>
    <w:rsid w:val="006C4402"/>
    <w:rsid w:val="006D1526"/>
    <w:rsid w:val="006E05E4"/>
    <w:rsid w:val="006E2EA0"/>
    <w:rsid w:val="0072548E"/>
    <w:rsid w:val="00746B30"/>
    <w:rsid w:val="007865B7"/>
    <w:rsid w:val="007D3E24"/>
    <w:rsid w:val="007F0A70"/>
    <w:rsid w:val="00836959"/>
    <w:rsid w:val="00851778"/>
    <w:rsid w:val="008577AC"/>
    <w:rsid w:val="00863180"/>
    <w:rsid w:val="008636E6"/>
    <w:rsid w:val="0088387E"/>
    <w:rsid w:val="008867CE"/>
    <w:rsid w:val="008B5E91"/>
    <w:rsid w:val="00933E1E"/>
    <w:rsid w:val="00952C33"/>
    <w:rsid w:val="00965E70"/>
    <w:rsid w:val="00982F81"/>
    <w:rsid w:val="00984E91"/>
    <w:rsid w:val="009C7986"/>
    <w:rsid w:val="009E20F4"/>
    <w:rsid w:val="00A2520D"/>
    <w:rsid w:val="00A31F9D"/>
    <w:rsid w:val="00A62FF2"/>
    <w:rsid w:val="00A705DA"/>
    <w:rsid w:val="00A901B2"/>
    <w:rsid w:val="00AA4191"/>
    <w:rsid w:val="00AB2696"/>
    <w:rsid w:val="00AC1F2A"/>
    <w:rsid w:val="00AD2217"/>
    <w:rsid w:val="00AD6ABF"/>
    <w:rsid w:val="00B11AF8"/>
    <w:rsid w:val="00B55BF0"/>
    <w:rsid w:val="00B64F3B"/>
    <w:rsid w:val="00B83E5E"/>
    <w:rsid w:val="00BD3A6E"/>
    <w:rsid w:val="00C050CD"/>
    <w:rsid w:val="00C26EF1"/>
    <w:rsid w:val="00C32598"/>
    <w:rsid w:val="00C346DF"/>
    <w:rsid w:val="00C46DB8"/>
    <w:rsid w:val="00C4784F"/>
    <w:rsid w:val="00CB2194"/>
    <w:rsid w:val="00CD1CA5"/>
    <w:rsid w:val="00D31477"/>
    <w:rsid w:val="00D328FB"/>
    <w:rsid w:val="00D357C8"/>
    <w:rsid w:val="00D3605F"/>
    <w:rsid w:val="00D416F0"/>
    <w:rsid w:val="00D6124D"/>
    <w:rsid w:val="00EF78D1"/>
    <w:rsid w:val="00FA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50CD"/>
  </w:style>
  <w:style w:type="paragraph" w:styleId="a5">
    <w:name w:val="header"/>
    <w:basedOn w:val="a"/>
    <w:link w:val="a6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0CD"/>
  </w:style>
  <w:style w:type="character" w:styleId="a7">
    <w:name w:val="page number"/>
    <w:rsid w:val="00C050C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0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0C5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A71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71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11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71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711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A71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50CD"/>
  </w:style>
  <w:style w:type="paragraph" w:styleId="a5">
    <w:name w:val="header"/>
    <w:basedOn w:val="a"/>
    <w:link w:val="a6"/>
    <w:uiPriority w:val="99"/>
    <w:unhideWhenUsed/>
    <w:rsid w:val="00C05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50CD"/>
  </w:style>
  <w:style w:type="character" w:styleId="a7">
    <w:name w:val="page number"/>
    <w:rsid w:val="00C050C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0C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E0C5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A711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A711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A711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71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A7115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A7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Адногулова Александра Валерьевна</dc:creator>
  <cp:lastModifiedBy>Суркова Лидия Васильевна</cp:lastModifiedBy>
  <cp:revision>37</cp:revision>
  <cp:lastPrinted>2018-02-20T09:48:00Z</cp:lastPrinted>
  <dcterms:created xsi:type="dcterms:W3CDTF">2017-11-01T15:33:00Z</dcterms:created>
  <dcterms:modified xsi:type="dcterms:W3CDTF">2025-10-28T09:17:00Z</dcterms:modified>
</cp:coreProperties>
</file>