
<file path=[Content_Types].xml><?xml version="1.0" encoding="utf-8"?>
<Types xmlns="http://schemas.openxmlformats.org/package/2006/content-types">
  <Default Extension="xlsx" ContentType="application/vnd.openxmlformats-officedocument.spreadsheetml.sheet"/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44"/>
        <w:pBdr/>
        <w:spacing/>
        <w:ind/>
        <w:jc w:val="right"/>
        <w:rPr/>
      </w:pPr>
      <w:r>
        <w:t xml:space="preserve">УТВЕРЖДЕН</w:t>
      </w:r>
      <w:r/>
    </w:p>
    <w:p>
      <w:pPr>
        <w:pStyle w:val="844"/>
        <w:pBdr/>
        <w:spacing/>
        <w:ind/>
        <w:jc w:val="right"/>
        <w:rPr/>
      </w:pPr>
      <w:r>
        <w:t xml:space="preserve">Общим собранием акционеров</w:t>
      </w:r>
      <w:r/>
    </w:p>
    <w:p>
      <w:pPr>
        <w:pStyle w:val="844"/>
        <w:pBdr/>
        <w:spacing/>
        <w:ind/>
        <w:jc w:val="right"/>
        <w:rPr/>
      </w:pPr>
      <w:r>
        <w:t xml:space="preserve">Открытого акционерного общества</w:t>
      </w:r>
      <w:r/>
    </w:p>
    <w:p>
      <w:pPr>
        <w:pStyle w:val="844"/>
        <w:pBdr/>
        <w:spacing/>
        <w:ind/>
        <w:jc w:val="right"/>
        <w:rPr/>
      </w:pPr>
      <w:r>
        <w:t xml:space="preserve">«Йошкар-Олинская кондитерская фабрика»</w:t>
      </w:r>
      <w:r/>
    </w:p>
    <w:p>
      <w:pPr>
        <w:pStyle w:val="844"/>
        <w:pBdr/>
        <w:spacing/>
        <w:ind/>
        <w:jc w:val="right"/>
        <w:rPr/>
      </w:pPr>
      <w:r>
        <w:t xml:space="preserve">(Протокол от 23 апреля 2025 года)</w:t>
      </w:r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right"/>
        <w:rPr>
          <w:bCs/>
        </w:rPr>
      </w:pPr>
      <w:r>
        <w:rPr>
          <w:bCs/>
        </w:rPr>
        <w:t xml:space="preserve">ПРЕДВАРИТЕЛЬНО УТВЕРЖДЕН</w:t>
      </w:r>
      <w:r>
        <w:rPr>
          <w:bCs/>
        </w:rPr>
      </w:r>
    </w:p>
    <w:p>
      <w:pPr>
        <w:pStyle w:val="844"/>
        <w:pBdr/>
        <w:spacing/>
        <w:ind/>
        <w:jc w:val="right"/>
        <w:rPr/>
      </w:pPr>
      <w:r>
        <w:t xml:space="preserve">Советом директоров</w:t>
      </w:r>
      <w:r/>
    </w:p>
    <w:p>
      <w:pPr>
        <w:pStyle w:val="844"/>
        <w:pBdr/>
        <w:spacing/>
        <w:ind/>
        <w:jc w:val="right"/>
        <w:rPr/>
      </w:pPr>
      <w:r>
        <w:t xml:space="preserve">Открытого акционерного общества</w:t>
      </w:r>
      <w:r/>
    </w:p>
    <w:p>
      <w:pPr>
        <w:pStyle w:val="844"/>
        <w:pBdr/>
        <w:spacing/>
        <w:ind/>
        <w:jc w:val="right"/>
        <w:rPr/>
      </w:pPr>
      <w:r>
        <w:t xml:space="preserve">«Йошкар-Олинская кондитерская фабрика»</w:t>
      </w:r>
      <w:r/>
    </w:p>
    <w:p>
      <w:pPr>
        <w:pStyle w:val="844"/>
        <w:pBdr/>
        <w:spacing/>
        <w:ind/>
        <w:jc w:val="right"/>
        <w:rPr/>
      </w:pPr>
      <w:r>
        <w:t xml:space="preserve">(Протокол от 17 марта 2025 года)</w:t>
      </w:r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center"/>
        <w:rPr>
          <w:b/>
        </w:rPr>
      </w:pPr>
      <w:r>
        <w:rPr>
          <w:b/>
        </w:rPr>
        <w:t xml:space="preserve">ГОДОВОЙ ОТЧЁТ</w:t>
      </w:r>
      <w:r>
        <w:rPr>
          <w:b/>
        </w:rPr>
      </w:r>
    </w:p>
    <w:p>
      <w:pPr>
        <w:pStyle w:val="844"/>
        <w:pBdr/>
        <w:spacing/>
        <w:ind/>
        <w:jc w:val="center"/>
        <w:rPr>
          <w:b/>
        </w:rPr>
      </w:pPr>
      <w:r>
        <w:rPr>
          <w:b/>
        </w:rPr>
        <w:t xml:space="preserve">Открытого акционерного общества</w:t>
      </w:r>
      <w:r>
        <w:rPr>
          <w:b/>
        </w:rPr>
      </w:r>
    </w:p>
    <w:p>
      <w:pPr>
        <w:pStyle w:val="844"/>
        <w:pBdr/>
        <w:spacing/>
        <w:ind/>
        <w:jc w:val="center"/>
        <w:rPr>
          <w:b/>
        </w:rPr>
      </w:pPr>
      <w:r>
        <w:rPr>
          <w:b/>
        </w:rPr>
        <w:t xml:space="preserve">«Йошкар-Олинская кондитерская фабрика»</w:t>
      </w:r>
      <w:r>
        <w:rPr>
          <w:b/>
        </w:rPr>
      </w:r>
    </w:p>
    <w:p>
      <w:pPr>
        <w:pStyle w:val="844"/>
        <w:pBdr/>
        <w:spacing/>
        <w:ind/>
        <w:jc w:val="center"/>
        <w:rPr>
          <w:b/>
        </w:rPr>
      </w:pPr>
      <w:r>
        <w:rPr>
          <w:b/>
        </w:rPr>
        <w:t xml:space="preserve">за 2024 год</w:t>
      </w:r>
      <w:r>
        <w:rPr>
          <w:b/>
        </w:rPr>
      </w:r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center"/>
        <w:rPr/>
      </w:pPr>
      <w:r>
        <w:t xml:space="preserve">2025 год</w:t>
      </w:r>
      <w:r>
        <w:br w:type="page" w:clear="all"/>
      </w:r>
      <w:r/>
    </w:p>
    <w:p>
      <w:pPr>
        <w:pStyle w:val="844"/>
        <w:pBdr/>
        <w:spacing w:after="0" w:before="0"/>
        <w:ind/>
        <w:jc w:val="center"/>
        <w:rPr>
          <w:b/>
        </w:rPr>
      </w:pPr>
      <w:r>
        <w:rPr>
          <w:b/>
        </w:rPr>
        <w:t xml:space="preserve">1. Положение Общества в отрасли</w:t>
      </w:r>
      <w:r>
        <w:rPr>
          <w:b/>
        </w:rPr>
      </w:r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 w:firstLine="567"/>
        <w:jc w:val="both"/>
        <w:rPr/>
      </w:pPr>
      <w:r>
        <w:t xml:space="preserve">Открытое акционерное общество «Йошкар-Олинская кондитерская фабрика», сокращенное наименование – ОАО «ЙКФ» (далее – Общество), создано в результате реорганизации в форме преобразования Общества с ог</w:t>
      </w:r>
      <w:r>
        <w:t xml:space="preserve">раниченной ответственностью «Кондитер», зарегистрированного Государственной регистрационной палатой Республики Марий Эл 22.10.1996 года под регистрационным № 827, в открытое акционерное общество в соответствии с Гражданским кодексом Российской федерации, Ф</w:t>
      </w:r>
      <w:r>
        <w:t xml:space="preserve">едеральным законом от 08.02.1998 года № 14-ФЗ «Об обществах с ограниченной ответственностью», Федеральным законом от 26.12.1995 года № 208-ФЗ «Об акционерных обществах» и является его правопреемником по долгам, обязательствам и ранее заключенным договорам.</w:t>
      </w:r>
      <w:r/>
    </w:p>
    <w:p>
      <w:pPr>
        <w:pStyle w:val="844"/>
        <w:pBdr/>
        <w:spacing/>
        <w:ind w:firstLine="567"/>
        <w:jc w:val="both"/>
        <w:rPr/>
      </w:pPr>
      <w:r>
        <w:t xml:space="preserve">Основной вид деятельности Общества – производство и реализация кондитерских изделий и их полуфабрикатов.</w:t>
      </w:r>
      <w:r/>
    </w:p>
    <w:p>
      <w:pPr>
        <w:pStyle w:val="844"/>
        <w:pBdr/>
        <w:spacing/>
        <w:ind w:firstLine="567"/>
        <w:jc w:val="both"/>
        <w:rPr/>
      </w:pPr>
      <w:r>
        <w:t xml:space="preserve">Уставный капитал Общества составляет 130.000 рублей.</w:t>
      </w:r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 w:firstLine="567"/>
        <w:jc w:val="both"/>
        <w:rPr/>
      </w:pPr>
      <w:r>
        <w:t xml:space="preserve">Структура продаж Открытого акционерного общества «Йошкар-Олинская кондитерская фабрика» представлена следующим образом:</w:t>
      </w:r>
      <w:r/>
    </w:p>
    <w:p>
      <w:pPr>
        <w:pStyle w:val="844"/>
        <w:pBdr/>
        <w:spacing/>
        <w:ind/>
        <w:jc w:val="both"/>
        <w:rPr/>
      </w:pPr>
      <w:r/>
      <w:r/>
    </w:p>
    <w:tbl>
      <w:tblPr>
        <w:tblW w:w="13343" w:type="dxa"/>
        <w:tblInd w:w="534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45"/>
        <w:gridCol w:w="1417"/>
        <w:gridCol w:w="1401"/>
        <w:gridCol w:w="1417"/>
        <w:gridCol w:w="1417"/>
        <w:gridCol w:w="1720"/>
        <w:gridCol w:w="2125"/>
      </w:tblGrid>
      <w:tr>
        <w:trPr>
          <w:trHeight w:val="32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Регион</w:t>
            </w:r>
            <w:r>
              <w:rPr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2021 год</w:t>
            </w:r>
            <w:r>
              <w:rPr>
                <w:b/>
              </w:rPr>
            </w:r>
          </w:p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(в тоннах)</w:t>
            </w:r>
            <w:r>
              <w:rPr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2022 год</w:t>
            </w:r>
            <w:r>
              <w:rPr>
                <w:b/>
              </w:rPr>
            </w:r>
          </w:p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(в тоннах)</w:t>
            </w:r>
            <w:r>
              <w:rPr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2023 год</w:t>
            </w:r>
            <w:r>
              <w:rPr>
                <w:b/>
              </w:rPr>
            </w:r>
          </w:p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(в тоннах)</w:t>
            </w:r>
            <w:r>
              <w:rPr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2024 год</w:t>
            </w:r>
            <w:r>
              <w:rPr>
                <w:b/>
              </w:rPr>
            </w:r>
          </w:p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(в тоннах)</w:t>
            </w:r>
            <w:r>
              <w:rPr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Отклонение от 2023 года</w:t>
            </w:r>
            <w:r>
              <w:rPr>
                <w:b/>
              </w:rPr>
            </w:r>
          </w:p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(в тоннах)</w:t>
            </w:r>
            <w:r>
              <w:rPr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Темп прироста к 2023 году</w:t>
            </w:r>
            <w:r>
              <w:rPr>
                <w:b/>
              </w:rPr>
            </w:r>
          </w:p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(в %)</w:t>
            </w:r>
            <w:r>
              <w:rPr>
                <w:b/>
              </w:rPr>
            </w:r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Амурская область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1,7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—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Вологодская область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4,0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5,5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5,5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8,7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+ 3,2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+ 58,2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Воронежская область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0,1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+ 0,1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—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Иркутская область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12,9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66,6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59,8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19,3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40,5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67,7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Кемеровская область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60,5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38,3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19,6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20,4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+ 0,8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+ 4,0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Кировская область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66,7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94,0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129,1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155,1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+ 26,0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+ 20,1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Костромская область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19,2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13,4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12,4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11,5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0,9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6,9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Красноярский край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33,8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56,5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42,3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32,2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10,1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23,9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Ленинградская область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5,3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1,0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100,0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г. Москва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3.896,0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3.722,2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2695,7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2.542,8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rPr>
                <w:rFonts w:eastAsia="Times New Roman" w:cs="Times New Roman"/>
              </w:rPr>
              <w:t xml:space="preserve">−</w:t>
            </w:r>
            <w:r>
              <w:t xml:space="preserve"> </w:t>
            </w:r>
            <w:r>
              <w:t xml:space="preserve">152,9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rPr>
                <w:rFonts w:eastAsia="Times New Roman" w:cs="Times New Roman"/>
              </w:rPr>
              <w:t xml:space="preserve">−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5,7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Московская область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68,4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4,6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4,5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2,4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2,1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46,7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Нижегородская область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758,0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796,7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730,7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655,3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75,5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10,3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Новгородская область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11,6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10,1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11,5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7,5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4,0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34,7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Омская область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21,4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20,1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11,9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4,1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7,8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65,5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Пензенская область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75,3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5,7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3,0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3,0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100,0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Приморский край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6,2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1,6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1,6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100,0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Республика Башкортостан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27,4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30,7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15,5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14,1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1,5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9,4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Республика Бурятия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14,0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8,4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6,2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6,2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100,0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Республика Коми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8,4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14,5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9,3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10,9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+ 1,6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+ 17,6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Республика Марий Эл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179,6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261,8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312,9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294,3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18,6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5,9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Республика Мордовия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10,2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6,2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4,0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2,2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35,2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Республика Татарстан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19,9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24,5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26,7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53,6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+ 26,9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+ 100,8</w:t>
            </w:r>
            <w:r/>
          </w:p>
        </w:tc>
      </w:tr>
      <w:tr>
        <w:trPr>
          <w:trHeight w:val="17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Республика Чувашия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5,7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13,5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24,3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30,4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+ 6,1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+ 24,9</w:t>
            </w:r>
            <w:r/>
          </w:p>
        </w:tc>
      </w:tr>
      <w:tr>
        <w:trPr>
          <w:trHeight w:val="15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Республика Удмуртия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14,3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23,4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24,6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27,3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+ 2,7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+ 10,8</w:t>
            </w:r>
            <w:r/>
          </w:p>
        </w:tc>
      </w:tr>
      <w:tr>
        <w:trPr>
          <w:trHeight w:val="15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Республика Хакасия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1,7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5,5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5,0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0,5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8,8</w:t>
            </w:r>
            <w:r/>
          </w:p>
        </w:tc>
      </w:tr>
      <w:tr>
        <w:trPr>
          <w:trHeight w:val="15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Ростовская область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5,8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—</w:t>
            </w:r>
            <w:r/>
          </w:p>
        </w:tc>
      </w:tr>
      <w:tr>
        <w:trPr>
          <w:trHeight w:val="15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Самарская область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22,2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77,9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78,0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28,6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49,4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63,3</w:t>
            </w:r>
            <w:r/>
          </w:p>
        </w:tc>
      </w:tr>
      <w:tr>
        <w:trPr>
          <w:trHeight w:val="156"/>
        </w:trPr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г. Санкт-Петербург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1,6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+1,6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—</w:t>
            </w:r>
            <w:r/>
          </w:p>
        </w:tc>
      </w:tr>
      <w:tr>
        <w:trPr>
          <w:trHeight w:val="15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Саратовская область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11,3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4,4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7,9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+ 3,5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+ 80,0</w:t>
            </w:r>
            <w:r/>
          </w:p>
        </w:tc>
      </w:tr>
      <w:tr>
        <w:trPr>
          <w:trHeight w:val="15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Сахалинская область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3,9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2,9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3,9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+ 1,0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+ 34,9</w:t>
            </w:r>
            <w:r/>
          </w:p>
        </w:tc>
      </w:tr>
      <w:tr>
        <w:trPr>
          <w:trHeight w:val="15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Ставропольский край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55,5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22,4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—</w:t>
            </w:r>
            <w:r/>
          </w:p>
        </w:tc>
      </w:tr>
      <w:tr>
        <w:trPr>
          <w:trHeight w:val="15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Тамбовская область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0,13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0,03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+ 32,0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Тверская область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14,6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18,0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14,3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11,8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2,5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17,6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Тульская область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57,9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35,1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19,0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5,0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rPr>
                <w:rFonts w:eastAsia="Times New Roman" w:cs="Times New Roman"/>
              </w:rPr>
              <w:t xml:space="preserve">−</w:t>
            </w:r>
            <w:r>
              <w:t xml:space="preserve"> </w:t>
            </w:r>
            <w:r>
              <w:t xml:space="preserve">14,0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rPr>
                <w:rFonts w:eastAsia="Times New Roman" w:cs="Times New Roman"/>
              </w:rPr>
              <w:t xml:space="preserve">−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73,7</w:t>
            </w:r>
            <w:r/>
          </w:p>
        </w:tc>
      </w:tr>
      <w:tr>
        <w:trPr>
          <w:trHeight w:val="16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Ульяновская область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43,7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41,1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38,0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35,3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2,7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7,1</w:t>
            </w:r>
            <w:r/>
          </w:p>
        </w:tc>
      </w:tr>
      <w:tr>
        <w:trPr>
          <w:trHeight w:val="16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Хабаровский край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17,3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39,9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46,6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26,5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20,2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43,2</w:t>
            </w:r>
            <w:r/>
          </w:p>
        </w:tc>
      </w:tr>
      <w:tr>
        <w:trPr>
          <w:trHeight w:val="164"/>
        </w:trPr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Челябинская область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47,1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—</w:t>
            </w:r>
            <w:r/>
          </w:p>
        </w:tc>
      </w:tr>
      <w:tr>
        <w:trPr>
          <w:trHeight w:val="16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Читинская область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6,0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7,5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2,5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+ 2,5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—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rPr>
                <w:b/>
              </w:rPr>
              <w:t xml:space="preserve">Итого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5.523,6</w:t>
            </w:r>
            <w:r>
              <w:rPr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5.536,7</w:t>
            </w:r>
            <w:r>
              <w:rPr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4.364,7</w:t>
            </w:r>
            <w:r>
              <w:rPr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4.022,3</w:t>
            </w:r>
            <w:r>
              <w:rPr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</w:rPr>
              <w:t xml:space="preserve">−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342,4</w:t>
            </w:r>
            <w:r>
              <w:rPr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</w:rPr>
              <w:t xml:space="preserve">−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7,8</w:t>
            </w:r>
            <w:r>
              <w:rPr>
                <w:b/>
              </w:rPr>
            </w:r>
          </w:p>
        </w:tc>
      </w:tr>
    </w:tbl>
    <w:p>
      <w:pPr>
        <w:pStyle w:val="844"/>
        <w:pBdr/>
        <w:spacing/>
        <w:ind/>
        <w:jc w:val="both"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Style w:val="844"/>
        <w:pBdr/>
        <w:spacing/>
        <w:ind w:firstLine="567"/>
        <w:jc w:val="both"/>
        <w:rPr/>
      </w:pPr>
      <w:r>
        <w:t xml:space="preserve">В 2024 году объем продаж составил 4.022,3 тонны продукции, включая реализацию продукции на единую торговую площадку ООО «Объединенные кондитеры» (г. Москва).</w:t>
      </w:r>
      <w:r/>
    </w:p>
    <w:p>
      <w:pPr>
        <w:pStyle w:val="844"/>
        <w:pBdr/>
        <w:spacing/>
        <w:ind w:firstLine="567"/>
        <w:jc w:val="both"/>
        <w:rPr/>
      </w:pPr>
      <w:r>
        <w:t xml:space="preserve">На домашнем рынке (Республика Марий Эл) отмечается снижение продаж на 18,6 тонны (− 5,9 %).</w:t>
      </w:r>
      <w:r/>
    </w:p>
    <w:p>
      <w:pPr>
        <w:pStyle w:val="844"/>
        <w:pBdr/>
        <w:spacing/>
        <w:ind w:firstLine="567"/>
        <w:jc w:val="both"/>
        <w:rPr/>
      </w:pPr>
      <w:r>
        <w:t xml:space="preserve">Основное увеличение продаж наблюдается в Кировской области – на 26,0 тонны (+ 20,1 %), в Республике Татарстан – на 26,9 тонны (+ 100,8 %) и в Республике Чувашия – на 6,1 тонны (+ 24,9 %).</w:t>
      </w:r>
      <w:r/>
    </w:p>
    <w:p>
      <w:pPr>
        <w:pStyle w:val="844"/>
        <w:pBdr/>
        <w:spacing/>
        <w:ind w:firstLine="567"/>
        <w:jc w:val="both"/>
        <w:rPr/>
      </w:pPr>
      <w:r>
        <w:t xml:space="preserve">Также увеличение продаж отмечено в Вологодской области – на 3,2 тонны (+ 58,2 %), в Саратовской области – на 3,5 тонны (+ 80,0 %), в Республике Удмуртия – на 2,7 тонны (+ 10,8 %), а также в Республике Коми – на 1,6 тонны (+ 17,6 %).</w:t>
      </w:r>
      <w:r/>
    </w:p>
    <w:p>
      <w:pPr>
        <w:pStyle w:val="844"/>
        <w:pBdr/>
        <w:spacing/>
        <w:ind w:firstLine="567"/>
        <w:jc w:val="both"/>
        <w:rPr/>
      </w:pPr>
      <w:r>
        <w:t xml:space="preserve">Снижение продаж отмечено в Нижегородской области – на 75,5 тонны (− 10,3 %), в Самарской области – на 49,4 тонны (− 63,3 %), в Иркутской области – на 40,5 тонны (− 67,7 %), а также в Хабаровском крае – на 20,2 тонны (− 43,2 %).</w:t>
      </w:r>
      <w:r/>
    </w:p>
    <w:p>
      <w:pPr>
        <w:pStyle w:val="844"/>
        <w:pBdr/>
        <w:spacing/>
        <w:ind w:firstLine="567"/>
        <w:jc w:val="both"/>
        <w:rPr/>
      </w:pPr>
      <w:r>
        <w:t xml:space="preserve">Причины снижения продаж в регионах следующие:</w:t>
      </w:r>
      <w:r/>
    </w:p>
    <w:p>
      <w:pPr>
        <w:pStyle w:val="844"/>
        <w:numPr>
          <w:ilvl w:val="0"/>
          <w:numId w:val="3"/>
        </w:numPr>
        <w:pBdr/>
        <w:spacing/>
        <w:ind w:hanging="284" w:left="284"/>
        <w:jc w:val="both"/>
        <w:rPr/>
      </w:pPr>
      <w:r>
        <w:t xml:space="preserve">рост базовых цен привел к снижению объема продаж в канале ТС2 по контрагенту ООО «Сладкая Жизнь плюс» в большей степени по ассортименту: карамель,</w:t>
      </w:r>
      <w:r>
        <w:t xml:space="preserve"> вафли «Артековские» (весовой формат и фасовка по 200 грамм), мармелад «Акварель», а также к падению продаж по контрагенту ООО «Традиции вкуса» по ассортименту: вафли фасованные, конфеты молочные, мармелад (снижение объемов продаж в Нижегородской области);</w:t>
      </w:r>
      <w:r/>
    </w:p>
    <w:p>
      <w:pPr>
        <w:pStyle w:val="844"/>
        <w:numPr>
          <w:ilvl w:val="0"/>
          <w:numId w:val="3"/>
        </w:numPr>
        <w:pBdr/>
        <w:spacing/>
        <w:ind w:hanging="284" w:left="284"/>
        <w:jc w:val="both"/>
        <w:rPr/>
      </w:pPr>
      <w:r>
        <w:t xml:space="preserve">вывод ассортимента из торговой сети (снижение объемов продаж в Самарской области), отгрузка продукции через дистрибьютора ООО «Трейд-Компани»;</w:t>
      </w:r>
      <w:r/>
    </w:p>
    <w:p>
      <w:pPr>
        <w:pStyle w:val="844"/>
        <w:numPr>
          <w:ilvl w:val="0"/>
          <w:numId w:val="3"/>
        </w:numPr>
        <w:pBdr/>
        <w:spacing/>
        <w:ind w:hanging="284" w:left="284"/>
        <w:jc w:val="both"/>
        <w:rPr/>
      </w:pPr>
      <w:r>
        <w:t xml:space="preserve">вывод ассортимента (карамель «Популярная») из торговых сетей «Хлеб$Соль», «Хороший», «Холивуд» в связи с невозможностью проведения акций и ростом цен на какао-порошок (снижение объемов продаж в Иркутской области, Красноярском крае, Омской области);</w:t>
      </w:r>
      <w:r/>
    </w:p>
    <w:p>
      <w:pPr>
        <w:pStyle w:val="844"/>
        <w:numPr>
          <w:ilvl w:val="0"/>
          <w:numId w:val="3"/>
        </w:numPr>
        <w:pBdr/>
        <w:spacing/>
        <w:ind w:hanging="284" w:left="284"/>
        <w:jc w:val="both"/>
        <w:rPr/>
      </w:pPr>
      <w:r>
        <w:t xml:space="preserve">рост базовых цен привел к снижению объема продаж на домашнем рынке (Республика Марий Эл), выводу продукции из торговой сети «Градус» (Хабаровский край), отказу контрагентов от сотрудничества (Республика Бурятия).</w:t>
      </w:r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center"/>
        <w:rPr>
          <w:b/>
        </w:rPr>
      </w:pPr>
      <w:r>
        <w:rPr>
          <w:b/>
        </w:rPr>
        <w:t xml:space="preserve">2. Приоритетные направления деятельности Общества</w:t>
      </w:r>
      <w:r>
        <w:rPr>
          <w:b/>
        </w:rPr>
      </w:r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 w:firstLine="567"/>
        <w:jc w:val="both"/>
        <w:rPr/>
      </w:pPr>
      <w:r>
        <w:t xml:space="preserve">Основной целью Открытого акционерного общества «Йошкар-Олинская кондитерская фабрика» является удовлетворение потре</w:t>
      </w:r>
      <w:r>
        <w:t xml:space="preserve">бностей населения Республики Марий Эл и Российской Федерации в производимых Обществом кондитерских изделиях и получение прибыли для удовлетворения материальных запросов акционеров, а также социальных и материальных потребностей наемных работников Общества.</w:t>
      </w:r>
      <w:r/>
    </w:p>
    <w:p>
      <w:pPr>
        <w:pStyle w:val="844"/>
        <w:pBdr/>
        <w:spacing/>
        <w:ind w:firstLine="567"/>
        <w:jc w:val="both"/>
        <w:rPr/>
      </w:pPr>
      <w:r>
        <w:t xml:space="preserve">Приоритетными направлениями деятельности Общества являются:</w:t>
      </w:r>
      <w:r/>
    </w:p>
    <w:p>
      <w:pPr>
        <w:pStyle w:val="759"/>
        <w:numPr>
          <w:ilvl w:val="0"/>
          <w:numId w:val="1"/>
        </w:numPr>
        <w:pBdr/>
        <w:spacing/>
        <w:ind w:right="279" w:hanging="284" w:left="284"/>
        <w:jc w:val="both"/>
        <w:rPr/>
      </w:pPr>
      <w:r>
        <w:t xml:space="preserve">производство и сбыт кондитерских изделий, а также полуфабрикатов для их производства;</w:t>
      </w:r>
      <w:r/>
    </w:p>
    <w:p>
      <w:pPr>
        <w:pStyle w:val="759"/>
        <w:numPr>
          <w:ilvl w:val="0"/>
          <w:numId w:val="1"/>
        </w:numPr>
        <w:pBdr/>
        <w:spacing/>
        <w:ind w:right="279" w:hanging="284" w:left="284"/>
        <w:jc w:val="both"/>
        <w:rPr/>
      </w:pPr>
      <w:r>
        <w:t xml:space="preserve">производство и реализация прочих продовольственных продуктов и товаров народного потребления;</w:t>
      </w:r>
      <w:r/>
    </w:p>
    <w:p>
      <w:pPr>
        <w:pStyle w:val="759"/>
        <w:numPr>
          <w:ilvl w:val="0"/>
          <w:numId w:val="1"/>
        </w:numPr>
        <w:pBdr/>
        <w:spacing/>
        <w:ind w:right="279" w:hanging="284" w:left="284"/>
        <w:jc w:val="both"/>
        <w:rPr/>
      </w:pPr>
      <w:r>
        <w:t xml:space="preserve">увеличение объемов производства и реализации кондитерских изделий;</w:t>
      </w:r>
      <w:r/>
    </w:p>
    <w:p>
      <w:pPr>
        <w:pStyle w:val="759"/>
        <w:numPr>
          <w:ilvl w:val="0"/>
          <w:numId w:val="1"/>
        </w:numPr>
        <w:pBdr/>
        <w:spacing/>
        <w:ind w:right="279" w:hanging="284" w:left="284"/>
        <w:jc w:val="both"/>
        <w:rPr/>
      </w:pPr>
      <w:r>
        <w:t xml:space="preserve">расширение рынков сбыта продукции;</w:t>
      </w:r>
      <w:r/>
    </w:p>
    <w:p>
      <w:pPr>
        <w:pStyle w:val="759"/>
        <w:numPr>
          <w:ilvl w:val="0"/>
          <w:numId w:val="1"/>
        </w:numPr>
        <w:pBdr/>
        <w:spacing/>
        <w:ind w:right="279" w:hanging="284" w:left="284"/>
        <w:jc w:val="both"/>
        <w:rPr/>
      </w:pPr>
      <w:r>
        <w:t xml:space="preserve">увеличение объемов продаж продукции через оптовую сеть;</w:t>
      </w:r>
      <w:r/>
    </w:p>
    <w:p>
      <w:pPr>
        <w:pStyle w:val="759"/>
        <w:numPr>
          <w:ilvl w:val="0"/>
          <w:numId w:val="1"/>
        </w:numPr>
        <w:pBdr/>
        <w:spacing/>
        <w:ind w:right="279" w:hanging="284" w:left="284"/>
        <w:jc w:val="both"/>
        <w:rPr/>
      </w:pPr>
      <w:r>
        <w:t xml:space="preserve">разработка новых видов кондитерских изделий;</w:t>
      </w:r>
      <w:r/>
    </w:p>
    <w:p>
      <w:pPr>
        <w:pStyle w:val="759"/>
        <w:numPr>
          <w:ilvl w:val="0"/>
          <w:numId w:val="1"/>
        </w:numPr>
        <w:pBdr/>
        <w:spacing/>
        <w:ind w:right="279" w:hanging="284" w:left="284"/>
        <w:jc w:val="both"/>
        <w:rPr/>
      </w:pPr>
      <w:r>
        <w:t xml:space="preserve">ремонт, техническое перевооружение, реконструкция и развитие производственных площадок Общества;</w:t>
      </w:r>
      <w:r/>
    </w:p>
    <w:p>
      <w:pPr>
        <w:pStyle w:val="759"/>
        <w:numPr>
          <w:ilvl w:val="0"/>
          <w:numId w:val="1"/>
        </w:numPr>
        <w:pBdr/>
        <w:spacing/>
        <w:ind w:right="279" w:hanging="284" w:left="284"/>
        <w:jc w:val="both"/>
        <w:rPr/>
      </w:pPr>
      <w:r>
        <w:t xml:space="preserve">проведение целенаправленных рекламных кампаний и анализ эффективности рекламных акций;</w:t>
      </w:r>
      <w:r/>
    </w:p>
    <w:p>
      <w:pPr>
        <w:pStyle w:val="759"/>
        <w:numPr>
          <w:ilvl w:val="0"/>
          <w:numId w:val="1"/>
        </w:numPr>
        <w:pBdr/>
        <w:spacing/>
        <w:ind w:right="279" w:hanging="284" w:left="284"/>
        <w:jc w:val="both"/>
        <w:rPr/>
      </w:pPr>
      <w:r>
        <w:t xml:space="preserve">проведение исследований, направленных на изучение спроса по каждому виду продукции, предоставляемой Обществом.</w:t>
      </w:r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center"/>
        <w:rPr>
          <w:b/>
        </w:rPr>
      </w:pPr>
      <w:r>
        <w:rPr>
          <w:b/>
        </w:rPr>
        <w:t xml:space="preserve">3. Отчёт Совета директоров Общества о результатах развития Общества по приоритетным направлениям его деятельности</w:t>
      </w:r>
      <w:r>
        <w:rPr>
          <w:b/>
        </w:rPr>
      </w:r>
    </w:p>
    <w:p>
      <w:pPr>
        <w:pStyle w:val="844"/>
        <w:pBdr/>
        <w:spacing/>
        <w:ind/>
        <w:jc w:val="both"/>
        <w:rPr/>
      </w:pPr>
      <w:r/>
      <w:r/>
    </w:p>
    <w:tbl>
      <w:tblPr>
        <w:tblW w:w="13467" w:type="dxa"/>
        <w:tblInd w:w="817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00" w:firstRow="0" w:lastRow="0" w:firstColumn="0" w:lastColumn="0" w:noHBand="0" w:noVBand="0"/>
      </w:tblPr>
      <w:tblGrid>
        <w:gridCol w:w="7020"/>
        <w:gridCol w:w="1247"/>
        <w:gridCol w:w="1441"/>
        <w:gridCol w:w="1252"/>
        <w:gridCol w:w="1254"/>
        <w:gridCol w:w="1252"/>
      </w:tblGrid>
      <w:tr>
        <w:trPr>
          <w:trHeight w:val="154"/>
        </w:trPr>
        <w:tc>
          <w:tcPr>
            <w:tcBorders>
              <w:bottom w:val="single" w:color="000000" w:sz="4" w:space="0"/>
              <w:right w:val="single" w:color="000000" w:sz="4" w:space="0"/>
            </w:tcBorders>
            <w:tcW w:w="70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 xml:space="preserve">2020 год</w:t>
            </w:r>
            <w:r>
              <w:rPr>
                <w:rFonts w:eastAsia="Arial Unicode MS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 xml:space="preserve">2021 год</w:t>
            </w:r>
            <w:r>
              <w:rPr>
                <w:rFonts w:eastAsia="Arial Unicode MS"/>
                <w:b/>
                <w:bCs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rFonts w:eastAsia="Arial Unicode MS"/>
                <w:b/>
                <w:bCs/>
              </w:rPr>
              <w:t xml:space="preserve">2022 год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 xml:space="preserve">2023 год</w:t>
            </w:r>
            <w:r>
              <w:rPr>
                <w:rFonts w:eastAsia="Arial Unicode MS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 xml:space="preserve">2024 год</w:t>
            </w:r>
            <w:r>
              <w:rPr>
                <w:rFonts w:eastAsia="Arial Unicode MS"/>
                <w:b/>
                <w:bCs/>
              </w:rPr>
            </w:r>
          </w:p>
        </w:tc>
      </w:tr>
      <w:tr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rPr>
                <w:b/>
              </w:rPr>
            </w:pPr>
            <w:r>
              <w:rPr>
                <w:b/>
              </w:rPr>
              <w:t xml:space="preserve">Объём производства продукции, всего тонн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rPr>
                <w:rFonts w:eastAsia="Arial Unicode MS"/>
              </w:rPr>
              <w:t xml:space="preserve">5.825,6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5.461,4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5.518,8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4.344,5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4.010,4</w:t>
            </w:r>
            <w:r/>
          </w:p>
        </w:tc>
      </w:tr>
      <w:tr>
        <w:trPr>
          <w:trHeight w:val="1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rPr>
                <w:b/>
              </w:rPr>
            </w:pPr>
            <w:r>
              <w:rPr>
                <w:b/>
              </w:rPr>
              <w:t xml:space="preserve">Объём производства продукции, всего млн. руб. (без НДС)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rPr>
                <w:rFonts w:eastAsia="Arial Unicode MS"/>
              </w:rPr>
              <w:t xml:space="preserve">928,1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lang w:val="en-US"/>
              </w:rPr>
            </w:pPr>
            <w:r>
              <w:t xml:space="preserve">961,3</w:t>
            </w:r>
            <w:r>
              <w:rPr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rPr>
                <w:lang w:val="en-US"/>
              </w:rPr>
              <w:t xml:space="preserve">1.305,5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1.247,1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1.188,9</w:t>
            </w:r>
            <w:r/>
          </w:p>
        </w:tc>
      </w:tr>
    </w:tbl>
    <w:p>
      <w:pPr>
        <w:pStyle w:val="844"/>
        <w:pBdr/>
        <w:spacing/>
        <w:ind/>
        <w:jc w:val="both"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Style w:val="844"/>
        <w:pBdr/>
        <w:spacing/>
        <w:ind w:firstLine="567"/>
        <w:jc w:val="both"/>
        <w:rPr/>
      </w:pPr>
      <w:r>
        <w:t xml:space="preserve">В целом за отчётный период наблюдается снижение объемов производства кондитерских изделий. Это подтверждается данными следующей таблицы:</w:t>
      </w:r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center"/>
        <w:rPr>
          <w:b/>
        </w:rPr>
      </w:pPr>
      <w:r>
        <w:rPr>
          <w:b/>
        </w:rPr>
        <w:t xml:space="preserve">Использование мощностей технологического оборудования по группам товарной продукции в 2020-2024 годах</w:t>
      </w:r>
      <w:r>
        <w:rPr>
          <w:b/>
        </w:rPr>
      </w:r>
    </w:p>
    <w:p>
      <w:pPr>
        <w:pStyle w:val="844"/>
        <w:pBdr/>
        <w:spacing/>
        <w:ind/>
        <w:jc w:val="both"/>
        <w:rPr/>
      </w:pPr>
      <w:r/>
      <w:r/>
    </w:p>
    <w:tbl>
      <w:tblPr>
        <w:tblW w:w="15877" w:type="dxa"/>
        <w:tblInd w:w="-744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00" w:firstRow="0" w:lastRow="0" w:firstColumn="0" w:lastColumn="0" w:noHBand="0" w:noVBand="0"/>
      </w:tblPr>
      <w:tblGrid>
        <w:gridCol w:w="1703"/>
        <w:gridCol w:w="992"/>
        <w:gridCol w:w="993"/>
        <w:gridCol w:w="852"/>
        <w:gridCol w:w="994"/>
        <w:gridCol w:w="999"/>
        <w:gridCol w:w="859"/>
        <w:gridCol w:w="992"/>
        <w:gridCol w:w="992"/>
        <w:gridCol w:w="855"/>
        <w:gridCol w:w="1000"/>
        <w:gridCol w:w="992"/>
        <w:gridCol w:w="854"/>
        <w:gridCol w:w="994"/>
        <w:gridCol w:w="993"/>
        <w:gridCol w:w="809"/>
      </w:tblGrid>
      <w:tr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3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Товарная группа</w:t>
            </w:r>
            <w:r>
              <w:rPr>
                <w:b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20</w:t>
            </w:r>
            <w:r>
              <w:rPr>
                <w:b/>
                <w:lang w:val="en-US"/>
              </w:rPr>
              <w:t xml:space="preserve">20</w:t>
            </w:r>
            <w:r>
              <w:rPr>
                <w:b/>
              </w:rPr>
              <w:t xml:space="preserve"> год</w:t>
            </w:r>
            <w:r>
              <w:rPr>
                <w:b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20</w:t>
            </w:r>
            <w:r>
              <w:rPr>
                <w:b/>
                <w:lang w:val="en-US"/>
              </w:rPr>
              <w:t xml:space="preserve">21</w:t>
            </w:r>
            <w:r>
              <w:rPr>
                <w:b/>
              </w:rPr>
              <w:t xml:space="preserve"> год</w:t>
            </w:r>
            <w:r>
              <w:rPr>
                <w:b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202</w:t>
            </w:r>
            <w:r>
              <w:rPr>
                <w:b/>
                <w:lang w:val="en-US"/>
              </w:rPr>
              <w:t xml:space="preserve">2</w:t>
            </w:r>
            <w:r>
              <w:rPr>
                <w:b/>
              </w:rPr>
              <w:t xml:space="preserve"> год</w:t>
            </w:r>
            <w:r>
              <w:rPr>
                <w:b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202</w:t>
            </w:r>
            <w:r>
              <w:rPr>
                <w:b/>
                <w:lang w:val="en-US"/>
              </w:rPr>
              <w:t xml:space="preserve">3</w:t>
            </w:r>
            <w:r>
              <w:rPr>
                <w:b/>
              </w:rPr>
              <w:t xml:space="preserve"> год</w:t>
            </w:r>
            <w:r>
              <w:rPr>
                <w:b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202</w:t>
            </w:r>
            <w:r>
              <w:rPr>
                <w:b/>
                <w:lang w:val="en-US"/>
              </w:rPr>
              <w:t xml:space="preserve">4</w:t>
            </w:r>
            <w:r>
              <w:rPr>
                <w:b/>
              </w:rPr>
              <w:t xml:space="preserve"> год</w:t>
            </w:r>
            <w:r>
              <w:rPr>
                <w:b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3" w:type="dxa"/>
            <w:vAlign w:val="center"/>
            <w:vMerge w:val="continue"/>
            <w:textDirection w:val="lrTb"/>
            <w:noWrap w:val="false"/>
          </w:tcPr>
          <w:p>
            <w:pPr>
              <w:pStyle w:val="759"/>
              <w:pBdr/>
              <w:spacing/>
              <w:ind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Мощность, т./год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Выработка, т.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Коэф. использ., %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Мощность, т./год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Выработка, т.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Коэф. использ., %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Мощность, т./год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Выработка, т.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Коэф. использ, %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Мощность, т./год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Выработка, т.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Коэф. использ, %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Мощность, т./год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Выработка, т.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Коэф. использ, %</w:t>
            </w:r>
            <w:r>
              <w:rPr>
                <w:sz w:val="18"/>
                <w:szCs w:val="18"/>
              </w:rPr>
            </w:r>
          </w:p>
        </w:tc>
      </w:tr>
      <w:tr>
        <w:trPr>
          <w:cantSplit/>
          <w:trHeight w:val="27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Сахаристые кондитерские изделия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8.017,0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5.076,6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63,3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8.017,0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4.860,7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60,6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7.117,0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4.814,5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67,6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7.117,0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3.312,3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46,5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7.117,0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3.030,8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42,6</w:t>
            </w:r>
            <w:r>
              <w:rPr>
                <w:b/>
                <w:sz w:val="22"/>
                <w:szCs w:val="22"/>
              </w:rPr>
            </w:r>
          </w:p>
        </w:tc>
      </w:tr>
      <w:tr>
        <w:trPr>
          <w:cantSplit/>
          <w:trHeight w:val="72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Карамель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1.800,0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610,1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33,9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1.800,0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469,1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26,1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1.800,0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775,4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43,1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1.800,0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638,3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35,5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1.800,0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1.187,5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66,0</w:t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  <w:trHeight w:val="37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Конфеты глазированные шоколадом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2.162,0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2.854,9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132,0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2.162,0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2.433,1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112,5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1.406,0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2.315,0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164,7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1.406,0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1.065,5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75,8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1.406,0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494,0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35,1</w:t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  <w:trHeight w:val="31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Конфеты неглазированные шоколадом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1.250,0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857,6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68,6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1.250,0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1.278,4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102,3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1.250,0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1.268,1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101,4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1.250,0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1.299,9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1.250,0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1.155,3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92,4</w:t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  <w:trHeight w:val="8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Мармелад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2.794,0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749,4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26,8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2.794,0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680,1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24,3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2.650,0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456,0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17,2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2.650,0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308,6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11,6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2.650,0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194,0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7,3</w:t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  <w:trHeight w:val="8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Пастила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4,4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40,4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−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−</w:t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  <w:trHeight w:val="37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Мучные кондитерские изделия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550,0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749,1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136,2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550,0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600,7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109,2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550,0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704,3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128,1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550,0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799,5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145,4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550,0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765,0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139,1</w:t>
            </w:r>
            <w:r>
              <w:rPr>
                <w:b/>
                <w:sz w:val="22"/>
                <w:szCs w:val="22"/>
              </w:rPr>
            </w:r>
          </w:p>
        </w:tc>
      </w:tr>
      <w:tr>
        <w:trPr>
          <w:cantSplit/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Вафли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550,0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749,1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136,2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550,0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600,7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109,2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550,0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704,3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128,1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550,0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799,5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145,4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550,0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765,0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139,1</w:t>
            </w:r>
            <w:r>
              <w:rPr>
                <w:sz w:val="22"/>
                <w:szCs w:val="22"/>
              </w:rPr>
            </w:r>
          </w:p>
        </w:tc>
      </w:tr>
      <w:tr>
        <w:trPr>
          <w:cantSplit/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Новогодние подарки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–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0,0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–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–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0,0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–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–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0,0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–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–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232,7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–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−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214,6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−</w:t>
            </w:r>
            <w:r>
              <w:rPr>
                <w:b/>
                <w:sz w:val="22"/>
                <w:szCs w:val="22"/>
              </w:rPr>
            </w:r>
          </w:p>
        </w:tc>
      </w:tr>
      <w:tr>
        <w:trPr>
          <w:cantSplit/>
          <w:trHeight w:val="34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Всего кондитерских изделий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8.567,0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5.825,6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68,0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8.567,0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5.461,4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63,7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7.667,0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5.518,8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72,0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7.667,0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4.344,5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56,7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7.667,0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4.010,4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52,3</w:t>
            </w:r>
            <w:r>
              <w:rPr>
                <w:b/>
                <w:sz w:val="22"/>
                <w:szCs w:val="22"/>
              </w:rPr>
            </w:r>
          </w:p>
        </w:tc>
      </w:tr>
    </w:tbl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 w:firstLine="567"/>
        <w:jc w:val="both"/>
        <w:rPr/>
      </w:pPr>
      <w:r>
        <w:t xml:space="preserve">В 2024 году расчётные производственные мощности, в целом по Обществу, использовались на 52,3 %. Наибольшая загрузка наблюдается на линии по производству вафель – 139,1 %.</w:t>
      </w:r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center"/>
        <w:rPr>
          <w:b/>
        </w:rPr>
      </w:pPr>
      <w:r>
        <w:rPr>
          <w:b/>
        </w:rPr>
        <w:t xml:space="preserve">Объёмы продаж собственной товарной продукции (в тоннах)</w:t>
      </w:r>
      <w:r>
        <w:rPr>
          <w:b/>
        </w:rPr>
      </w:r>
    </w:p>
    <w:p>
      <w:pPr>
        <w:pStyle w:val="844"/>
        <w:pBdr/>
        <w:spacing/>
        <w:ind/>
        <w:jc w:val="both"/>
        <w:rPr/>
      </w:pPr>
      <w:r/>
      <w:r/>
    </w:p>
    <w:tbl>
      <w:tblPr>
        <w:tblW w:w="15044" w:type="dxa"/>
        <w:tblInd w:w="-13" w:type="dxa"/>
        <w:tblBorders/>
        <w:tblLayout w:type="fixed"/>
        <w:tblCellMar>
          <w:left w:w="5" w:type="dxa"/>
          <w:top w:w="0" w:type="dxa"/>
          <w:right w:w="5" w:type="dxa"/>
          <w:bottom w:w="0" w:type="dxa"/>
        </w:tblCellMar>
        <w:tblLook w:val="0000" w:firstRow="0" w:lastRow="0" w:firstColumn="0" w:lastColumn="0" w:noHBand="0" w:noVBand="0"/>
      </w:tblPr>
      <w:tblGrid>
        <w:gridCol w:w="4129"/>
        <w:gridCol w:w="1614"/>
        <w:gridCol w:w="1616"/>
        <w:gridCol w:w="1616"/>
        <w:gridCol w:w="1617"/>
        <w:gridCol w:w="1617"/>
        <w:gridCol w:w="2834"/>
      </w:tblGrid>
      <w:tr>
        <w:trPr>
          <w:cantSplit/>
          <w:trHeight w:val="3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 xml:space="preserve">Товарная группа</w:t>
            </w:r>
            <w:r>
              <w:rPr>
                <w:rFonts w:eastAsia="Arial Unicode MS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szCs w:val="20"/>
              </w:rPr>
              <w:t xml:space="preserve">20</w:t>
            </w:r>
            <w:r>
              <w:rPr>
                <w:rFonts w:cs="Tahoma"/>
                <w:b/>
                <w:bCs/>
                <w:szCs w:val="20"/>
                <w:lang w:val="en-US"/>
              </w:rPr>
              <w:t xml:space="preserve">20</w:t>
            </w:r>
            <w:r>
              <w:rPr>
                <w:rFonts w:cs="Tahoma"/>
                <w:b/>
                <w:bCs/>
                <w:szCs w:val="20"/>
              </w:rPr>
              <w:t xml:space="preserve"> год</w:t>
            </w:r>
            <w:r>
              <w:rPr>
                <w:rFonts w:cs="Tahoma"/>
                <w:b/>
                <w:b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szCs w:val="20"/>
              </w:rPr>
              <w:t xml:space="preserve">20</w:t>
            </w:r>
            <w:r>
              <w:rPr>
                <w:rFonts w:cs="Tahoma"/>
                <w:b/>
                <w:bCs/>
                <w:szCs w:val="20"/>
                <w:lang w:val="en-US"/>
              </w:rPr>
              <w:t xml:space="preserve">21</w:t>
            </w:r>
            <w:r>
              <w:rPr>
                <w:rFonts w:cs="Tahoma"/>
                <w:b/>
                <w:bCs/>
                <w:szCs w:val="20"/>
              </w:rPr>
              <w:t xml:space="preserve"> год</w:t>
            </w:r>
            <w:r>
              <w:rPr>
                <w:rFonts w:cs="Tahoma"/>
                <w:b/>
                <w:b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szCs w:val="20"/>
              </w:rPr>
              <w:t xml:space="preserve">202</w:t>
            </w:r>
            <w:r>
              <w:rPr>
                <w:rFonts w:cs="Tahoma"/>
                <w:b/>
                <w:bCs/>
                <w:szCs w:val="20"/>
                <w:lang w:val="en-US"/>
              </w:rPr>
              <w:t xml:space="preserve">2</w:t>
            </w:r>
            <w:r>
              <w:rPr>
                <w:rFonts w:cs="Tahoma"/>
                <w:b/>
                <w:bCs/>
                <w:szCs w:val="20"/>
              </w:rPr>
              <w:t xml:space="preserve"> год</w:t>
            </w:r>
            <w:r>
              <w:rPr>
                <w:rFonts w:cs="Tahoma"/>
                <w:b/>
                <w:b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szCs w:val="20"/>
              </w:rPr>
              <w:t xml:space="preserve">202</w:t>
            </w:r>
            <w:r>
              <w:rPr>
                <w:rFonts w:cs="Tahoma"/>
                <w:b/>
                <w:bCs/>
                <w:szCs w:val="20"/>
                <w:lang w:val="en-US"/>
              </w:rPr>
              <w:t xml:space="preserve">3</w:t>
            </w:r>
            <w:r>
              <w:rPr>
                <w:rFonts w:cs="Tahoma"/>
                <w:b/>
                <w:bCs/>
                <w:szCs w:val="20"/>
              </w:rPr>
              <w:t xml:space="preserve"> год</w:t>
            </w:r>
            <w:r>
              <w:rPr>
                <w:rFonts w:cs="Tahoma"/>
                <w:b/>
                <w:b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szCs w:val="20"/>
              </w:rPr>
              <w:t xml:space="preserve">2024 год</w:t>
            </w:r>
            <w:r>
              <w:rPr>
                <w:rFonts w:cs="Tahoma"/>
                <w:b/>
                <w:b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szCs w:val="20"/>
              </w:rPr>
              <w:t xml:space="preserve">Темп прироста к 2023 году</w:t>
            </w:r>
            <w:r>
              <w:rPr>
                <w:rFonts w:cs="Tahoma"/>
                <w:b/>
                <w:bCs/>
                <w:szCs w:val="20"/>
              </w:rPr>
            </w:r>
          </w:p>
          <w:p>
            <w:pPr>
              <w:pStyle w:val="844"/>
              <w:pBdr/>
              <w:spacing/>
              <w:ind/>
              <w:jc w:val="center"/>
              <w:rPr>
                <w:rFonts w:eastAsia="Arial Unicode MS"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szCs w:val="20"/>
              </w:rPr>
              <w:t xml:space="preserve">(в %)</w:t>
            </w:r>
            <w:r>
              <w:rPr>
                <w:rFonts w:eastAsia="Arial Unicode MS" w:cs="Tahoma"/>
                <w:b/>
                <w:bCs/>
                <w:szCs w:val="20"/>
              </w:rPr>
            </w:r>
          </w:p>
        </w:tc>
      </w:tr>
      <w:tr>
        <w:trPr>
          <w:cantSplit/>
          <w:trHeight w:val="1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 xml:space="preserve">Сахаристые кондитерские изделия</w:t>
            </w:r>
            <w:r>
              <w:rPr>
                <w:rFonts w:eastAsia="Arial Unicode MS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 xml:space="preserve">5.087</w:t>
            </w:r>
            <w:r>
              <w:rPr>
                <w:rFonts w:eastAsia="Arial Unicode MS"/>
                <w:b/>
                <w:bCs/>
                <w:szCs w:val="20"/>
              </w:rPr>
              <w:t xml:space="preserve">,</w:t>
            </w:r>
            <w:r>
              <w:rPr>
                <w:rFonts w:eastAsia="Arial Unicode MS"/>
                <w:b/>
                <w:bCs/>
                <w:szCs w:val="20"/>
              </w:rPr>
              <w:t xml:space="preserve">5</w:t>
            </w:r>
            <w:r>
              <w:rPr>
                <w:rFonts w:eastAsia="Arial Unicode MS"/>
                <w:b/>
                <w:b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 xml:space="preserve">4.882</w:t>
            </w:r>
            <w:r>
              <w:rPr>
                <w:rFonts w:eastAsia="Arial Unicode MS"/>
                <w:b/>
                <w:bCs/>
                <w:szCs w:val="20"/>
              </w:rPr>
              <w:t xml:space="preserve">,</w:t>
            </w:r>
            <w:r>
              <w:rPr>
                <w:rFonts w:eastAsia="Arial Unicode MS"/>
                <w:b/>
                <w:bCs/>
                <w:szCs w:val="20"/>
              </w:rPr>
              <w:t xml:space="preserve">4</w:t>
            </w:r>
            <w:r>
              <w:rPr>
                <w:rFonts w:eastAsia="Arial Unicode MS"/>
                <w:b/>
                <w:b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 xml:space="preserve">4</w:t>
            </w:r>
            <w:r>
              <w:rPr>
                <w:rFonts w:eastAsia="Arial Unicode MS"/>
                <w:b/>
                <w:bCs/>
                <w:szCs w:val="20"/>
              </w:rPr>
              <w:t xml:space="preserve">.</w:t>
            </w:r>
            <w:r>
              <w:rPr>
                <w:rFonts w:eastAsia="Arial Unicode MS"/>
                <w:b/>
                <w:bCs/>
                <w:szCs w:val="20"/>
              </w:rPr>
              <w:t xml:space="preserve">8</w:t>
            </w:r>
            <w:r>
              <w:rPr>
                <w:rFonts w:eastAsia="Arial Unicode MS"/>
                <w:b/>
                <w:bCs/>
                <w:szCs w:val="20"/>
              </w:rPr>
              <w:t xml:space="preserve">31,</w:t>
            </w:r>
            <w:r>
              <w:rPr>
                <w:rFonts w:eastAsia="Arial Unicode MS"/>
                <w:b/>
                <w:bCs/>
                <w:szCs w:val="20"/>
              </w:rPr>
              <w:t xml:space="preserve">1</w:t>
            </w:r>
            <w:r>
              <w:rPr>
                <w:rFonts w:eastAsia="Arial Unicode MS"/>
                <w:b/>
                <w:b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 xml:space="preserve">3.338</w:t>
            </w:r>
            <w:r>
              <w:rPr>
                <w:rFonts w:eastAsia="Arial Unicode MS"/>
                <w:b/>
                <w:bCs/>
                <w:szCs w:val="20"/>
              </w:rPr>
              <w:t xml:space="preserve">,</w:t>
            </w:r>
            <w:r>
              <w:rPr>
                <w:rFonts w:eastAsia="Arial Unicode MS"/>
                <w:b/>
                <w:bCs/>
                <w:szCs w:val="20"/>
              </w:rPr>
              <w:t xml:space="preserve">0</w:t>
            </w:r>
            <w:r>
              <w:rPr>
                <w:rFonts w:eastAsia="Arial Unicode MS"/>
                <w:b/>
                <w:b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 xml:space="preserve">3.0</w:t>
            </w:r>
            <w:r>
              <w:rPr>
                <w:rFonts w:eastAsia="Arial Unicode MS"/>
                <w:b/>
                <w:bCs/>
                <w:szCs w:val="20"/>
              </w:rPr>
              <w:t xml:space="preserve">37</w:t>
            </w:r>
            <w:r>
              <w:rPr>
                <w:rFonts w:eastAsia="Arial Unicode MS"/>
                <w:b/>
                <w:bCs/>
                <w:szCs w:val="20"/>
              </w:rPr>
              <w:t xml:space="preserve">,5</w:t>
            </w:r>
            <w:r>
              <w:rPr>
                <w:rFonts w:eastAsia="Arial Unicode MS"/>
                <w:b/>
                <w:b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Cs w:val="20"/>
              </w:rPr>
              <w:t xml:space="preserve">−</w:t>
            </w:r>
            <w:r>
              <w:rPr>
                <w:rFonts w:eastAsia="Arial Unicode MS"/>
                <w:b/>
                <w:bCs/>
                <w:szCs w:val="20"/>
              </w:rPr>
              <w:t xml:space="preserve"> </w:t>
            </w:r>
            <w:r>
              <w:rPr>
                <w:rFonts w:eastAsia="Arial Unicode MS"/>
                <w:b/>
                <w:bCs/>
                <w:szCs w:val="20"/>
              </w:rPr>
              <w:t xml:space="preserve">9</w:t>
            </w:r>
            <w:r>
              <w:rPr>
                <w:rFonts w:eastAsia="Arial Unicode MS"/>
                <w:b/>
                <w:bCs/>
                <w:szCs w:val="20"/>
              </w:rPr>
              <w:t xml:space="preserve">,</w:t>
            </w:r>
            <w:r>
              <w:rPr>
                <w:rFonts w:eastAsia="Arial Unicode MS"/>
                <w:b/>
                <w:bCs/>
                <w:szCs w:val="20"/>
              </w:rPr>
              <w:t xml:space="preserve">0</w:t>
            </w:r>
            <w:r>
              <w:rPr>
                <w:rFonts w:eastAsia="Arial Unicode MS"/>
                <w:b/>
                <w:bCs/>
                <w:szCs w:val="20"/>
              </w:rPr>
            </w:r>
          </w:p>
        </w:tc>
      </w:tr>
      <w:tr>
        <w:trPr>
          <w:cantSplit/>
          <w:trHeight w:val="18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Карамель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606</w:t>
            </w:r>
            <w:r>
              <w:rPr>
                <w:rFonts w:eastAsia="Arial Unicode MS"/>
              </w:rPr>
              <w:t xml:space="preserve">,</w:t>
            </w:r>
            <w:r>
              <w:rPr>
                <w:rFonts w:eastAsia="Arial Unicode MS"/>
              </w:rPr>
              <w:t xml:space="preserve">8</w:t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461</w:t>
            </w:r>
            <w:r>
              <w:rPr>
                <w:rFonts w:eastAsia="Arial Unicode MS"/>
              </w:rPr>
              <w:t xml:space="preserve">,</w:t>
            </w:r>
            <w:r>
              <w:rPr>
                <w:rFonts w:eastAsia="Arial Unicode MS"/>
              </w:rPr>
              <w:t xml:space="preserve">0</w:t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757</w:t>
            </w:r>
            <w:r>
              <w:rPr>
                <w:rFonts w:eastAsia="Arial Unicode MS"/>
              </w:rPr>
              <w:t xml:space="preserve">,</w:t>
            </w:r>
            <w:r>
              <w:rPr>
                <w:rFonts w:eastAsia="Arial Unicode MS"/>
              </w:rPr>
              <w:t xml:space="preserve">6</w:t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626</w:t>
            </w:r>
            <w:r>
              <w:rPr>
                <w:rFonts w:eastAsia="Arial Unicode MS"/>
              </w:rPr>
              <w:t xml:space="preserve">,</w:t>
            </w:r>
            <w:r>
              <w:rPr>
                <w:rFonts w:eastAsia="Arial Unicode MS"/>
              </w:rPr>
              <w:t xml:space="preserve">1</w:t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1.172,</w:t>
            </w:r>
            <w:r>
              <w:rPr>
                <w:rFonts w:eastAsia="Arial Unicode MS"/>
              </w:rPr>
              <w:t xml:space="preserve">8</w:t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+ </w:t>
            </w:r>
            <w:r>
              <w:rPr>
                <w:rFonts w:eastAsia="Arial Unicode MS"/>
              </w:rPr>
              <w:t xml:space="preserve">87</w:t>
            </w:r>
            <w:r>
              <w:rPr>
                <w:rFonts w:eastAsia="Arial Unicode MS"/>
              </w:rPr>
              <w:t xml:space="preserve">,</w:t>
            </w:r>
            <w:r>
              <w:rPr>
                <w:rFonts w:eastAsia="Arial Unicode MS"/>
              </w:rPr>
              <w:t xml:space="preserve">3</w:t>
            </w:r>
            <w:r>
              <w:rPr>
                <w:rFonts w:eastAsia="Arial Unicode MS"/>
              </w:rPr>
            </w:r>
          </w:p>
        </w:tc>
      </w:tr>
      <w:tr>
        <w:trPr>
          <w:cantSplit/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Конфеты глазированные шоколадом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2.842</w:t>
            </w:r>
            <w:r>
              <w:rPr>
                <w:rFonts w:eastAsia="Arial Unicode MS"/>
              </w:rPr>
              <w:t xml:space="preserve">,</w:t>
            </w:r>
            <w:r>
              <w:rPr>
                <w:rFonts w:eastAsia="Arial Unicode MS"/>
              </w:rPr>
              <w:t xml:space="preserve">3</w:t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2.434</w:t>
            </w:r>
            <w:r>
              <w:rPr>
                <w:rFonts w:eastAsia="Arial Unicode MS"/>
              </w:rPr>
              <w:t xml:space="preserve">,</w:t>
            </w:r>
            <w:r>
              <w:rPr>
                <w:rFonts w:eastAsia="Arial Unicode MS"/>
              </w:rPr>
              <w:t xml:space="preserve">6</w:t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2.313</w:t>
            </w:r>
            <w:r>
              <w:rPr>
                <w:rFonts w:eastAsia="Arial Unicode MS"/>
              </w:rPr>
              <w:t xml:space="preserve">,</w:t>
            </w:r>
            <w:r>
              <w:rPr>
                <w:rFonts w:eastAsia="Arial Unicode MS"/>
              </w:rPr>
              <w:t xml:space="preserve">0</w:t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1.081</w:t>
            </w:r>
            <w:r>
              <w:rPr>
                <w:rFonts w:eastAsia="Arial Unicode MS"/>
              </w:rPr>
              <w:t xml:space="preserve">,</w:t>
            </w:r>
            <w:r>
              <w:rPr>
                <w:rFonts w:eastAsia="Arial Unicode MS"/>
              </w:rPr>
              <w:t xml:space="preserve">2</w:t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507</w:t>
            </w:r>
            <w:r>
              <w:rPr>
                <w:rFonts w:eastAsia="Arial Unicode MS"/>
              </w:rPr>
              <w:t xml:space="preserve">,</w:t>
            </w:r>
            <w:r>
              <w:rPr>
                <w:rFonts w:eastAsia="Arial Unicode MS"/>
              </w:rPr>
              <w:t xml:space="preserve">0</w:t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−</w:t>
            </w:r>
            <w:r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5</w:t>
            </w:r>
            <w:r>
              <w:rPr>
                <w:rFonts w:eastAsia="Arial Unicode MS"/>
              </w:rPr>
              <w:t xml:space="preserve">3,1</w:t>
            </w:r>
            <w:r>
              <w:rPr>
                <w:rFonts w:eastAsia="Arial Unicode MS"/>
              </w:rPr>
            </w:r>
          </w:p>
        </w:tc>
      </w:tr>
      <w:tr>
        <w:trPr>
          <w:cantSplit/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Конфеты неглазированные шоколадом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862,</w:t>
            </w:r>
            <w:r>
              <w:rPr>
                <w:rFonts w:eastAsia="Arial Unicode MS"/>
              </w:rPr>
              <w:t xml:space="preserve">8</w:t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1.</w:t>
            </w:r>
            <w:r>
              <w:rPr>
                <w:rFonts w:eastAsia="Arial Unicode MS"/>
              </w:rPr>
              <w:t xml:space="preserve">276</w:t>
            </w:r>
            <w:r>
              <w:rPr>
                <w:rFonts w:eastAsia="Arial Unicode MS"/>
              </w:rPr>
              <w:t xml:space="preserve">,0</w:t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1.</w:t>
            </w:r>
            <w:r>
              <w:rPr>
                <w:rFonts w:eastAsia="Arial Unicode MS"/>
              </w:rPr>
              <w:t xml:space="preserve">268</w:t>
            </w:r>
            <w:r>
              <w:rPr>
                <w:rFonts w:eastAsia="Arial Unicode MS"/>
              </w:rPr>
              <w:t xml:space="preserve">,</w:t>
            </w:r>
            <w:r>
              <w:rPr>
                <w:rFonts w:eastAsia="Arial Unicode MS"/>
              </w:rPr>
              <w:t xml:space="preserve">3</w:t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1.299</w:t>
            </w:r>
            <w:r>
              <w:rPr>
                <w:rFonts w:eastAsia="Arial Unicode MS"/>
              </w:rPr>
              <w:t xml:space="preserve">,</w:t>
            </w:r>
            <w:r>
              <w:rPr>
                <w:rFonts w:eastAsia="Arial Unicode MS"/>
              </w:rPr>
              <w:t xml:space="preserve">4</w:t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1.153,6</w:t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−</w:t>
            </w:r>
            <w:r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1</w:t>
            </w:r>
            <w:r>
              <w:rPr>
                <w:rFonts w:eastAsia="Arial Unicode MS"/>
              </w:rPr>
              <w:t xml:space="preserve">1</w:t>
            </w:r>
            <w:r>
              <w:rPr>
                <w:rFonts w:eastAsia="Arial Unicode MS"/>
              </w:rPr>
              <w:t xml:space="preserve">,</w:t>
            </w:r>
            <w:r>
              <w:rPr>
                <w:rFonts w:eastAsia="Arial Unicode MS"/>
              </w:rPr>
              <w:t xml:space="preserve">2</w:t>
            </w:r>
            <w:r>
              <w:rPr>
                <w:rFonts w:eastAsia="Arial Unicode MS"/>
              </w:rPr>
            </w:r>
          </w:p>
        </w:tc>
      </w:tr>
      <w:tr>
        <w:trPr>
          <w:cantSplit/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Ирис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33,8</w:t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30</w:t>
            </w:r>
            <w:r>
              <w:rPr>
                <w:rFonts w:eastAsia="Arial Unicode MS"/>
              </w:rPr>
              <w:t xml:space="preserve">,</w:t>
            </w:r>
            <w:r>
              <w:rPr>
                <w:rFonts w:eastAsia="Arial Unicode MS"/>
              </w:rPr>
              <w:t xml:space="preserve">0</w:t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33,7</w:t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29,0</w:t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28,</w:t>
            </w:r>
            <w:r>
              <w:rPr>
                <w:rFonts w:eastAsia="Arial Unicode MS"/>
              </w:rPr>
              <w:t xml:space="preserve">1</w:t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t xml:space="preserve">−</w:t>
            </w:r>
            <w:r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3,</w:t>
            </w:r>
            <w:r>
              <w:rPr>
                <w:rFonts w:eastAsia="Arial Unicode MS"/>
              </w:rPr>
              <w:t xml:space="preserve">3</w:t>
            </w:r>
            <w:r>
              <w:rPr>
                <w:rFonts w:eastAsia="Arial Unicode MS"/>
              </w:rPr>
            </w:r>
          </w:p>
        </w:tc>
      </w:tr>
      <w:tr>
        <w:trPr>
          <w:cantSplit/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Мармелад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737</w:t>
            </w:r>
            <w:r>
              <w:rPr>
                <w:rFonts w:eastAsia="Arial Unicode MS"/>
              </w:rPr>
              <w:t xml:space="preserve">,</w:t>
            </w:r>
            <w:r>
              <w:rPr>
                <w:rFonts w:eastAsia="Arial Unicode MS"/>
              </w:rPr>
              <w:t xml:space="preserve">7</w:t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680</w:t>
            </w:r>
            <w:r>
              <w:rPr>
                <w:rFonts w:eastAsia="Arial Unicode MS"/>
              </w:rPr>
              <w:t xml:space="preserve">,</w:t>
            </w:r>
            <w:r>
              <w:rPr>
                <w:rFonts w:eastAsia="Arial Unicode MS"/>
              </w:rPr>
              <w:t xml:space="preserve">8</w:t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458</w:t>
            </w:r>
            <w:r>
              <w:rPr>
                <w:rFonts w:eastAsia="Arial Unicode MS"/>
              </w:rPr>
              <w:t xml:space="preserve">,</w:t>
            </w:r>
            <w:r>
              <w:rPr>
                <w:rFonts w:eastAsia="Arial Unicode MS"/>
              </w:rPr>
              <w:t xml:space="preserve">5</w:t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</w:t>
            </w:r>
            <w:r>
              <w:rPr>
                <w:rFonts w:eastAsia="Arial Unicode MS"/>
              </w:rPr>
              <w:t xml:space="preserve">97</w:t>
            </w:r>
            <w:r>
              <w:rPr>
                <w:rFonts w:eastAsia="Arial Unicode MS"/>
              </w:rPr>
              <w:t xml:space="preserve">,</w:t>
            </w:r>
            <w:r>
              <w:rPr>
                <w:rFonts w:eastAsia="Arial Unicode MS"/>
              </w:rPr>
              <w:t xml:space="preserve">9</w:t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174,9</w:t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t xml:space="preserve">−</w:t>
            </w:r>
            <w:r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41</w:t>
            </w:r>
            <w:r>
              <w:rPr>
                <w:rFonts w:eastAsia="Arial Unicode MS"/>
              </w:rPr>
              <w:t xml:space="preserve">,</w:t>
            </w:r>
            <w:r>
              <w:rPr>
                <w:rFonts w:eastAsia="Arial Unicode MS"/>
              </w:rPr>
              <w:t xml:space="preserve">3</w:t>
            </w:r>
            <w:r>
              <w:rPr>
                <w:rFonts w:eastAsia="Arial Unicode MS"/>
              </w:rPr>
            </w:r>
          </w:p>
        </w:tc>
      </w:tr>
      <w:tr>
        <w:trPr>
          <w:cantSplit/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Пастила и зефир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4</w:t>
            </w:r>
            <w:r>
              <w:rPr>
                <w:rFonts w:eastAsia="Arial Unicode MS"/>
              </w:rPr>
              <w:t xml:space="preserve">,2</w:t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0,0</w:t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0,0</w:t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</w:t>
            </w:r>
            <w:r>
              <w:rPr>
                <w:rFonts w:eastAsia="Arial Unicode MS"/>
              </w:rPr>
              <w:t xml:space="preserve">,0</w:t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0,0</w:t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−</w:t>
            </w:r>
            <w:r>
              <w:rPr>
                <w:rFonts w:eastAsia="Arial Unicode MS" w:cs="Times New Roman"/>
              </w:rPr>
              <w:t xml:space="preserve"> </w:t>
            </w:r>
            <w:r>
              <w:rPr>
                <w:rFonts w:eastAsia="Arial Unicode MS" w:cs="Times New Roman"/>
              </w:rPr>
              <w:t xml:space="preserve">10</w:t>
            </w:r>
            <w:r>
              <w:rPr>
                <w:rFonts w:eastAsia="Arial Unicode MS"/>
              </w:rPr>
              <w:t xml:space="preserve">0,0</w:t>
            </w:r>
            <w:r>
              <w:rPr>
                <w:rFonts w:eastAsia="Arial Unicode MS"/>
              </w:rPr>
            </w:r>
          </w:p>
        </w:tc>
      </w:tr>
      <w:tr>
        <w:trPr>
          <w:cantSplit/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t xml:space="preserve">Шоколад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0,0</w:t>
            </w:r>
            <w:r>
              <w:rPr>
                <w:rFonts w:eastAsia="Arial Unicode M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0,0</w:t>
            </w:r>
            <w:r>
              <w:rPr>
                <w:rFonts w:eastAsia="Arial Unicode M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0,0</w:t>
            </w:r>
            <w:r>
              <w:rPr>
                <w:rFonts w:eastAsia="Arial Unicode M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2,3</w:t>
            </w:r>
            <w:r>
              <w:rPr>
                <w:rFonts w:eastAsia="Arial Unicode M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1,2</w:t>
            </w:r>
            <w:r>
              <w:rPr>
                <w:rFonts w:eastAsia="Arial Unicode M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−</w:t>
            </w:r>
            <w:r>
              <w:rPr>
                <w:rFonts w:eastAsia="Arial Unicode MS" w:cs="Times New Roman"/>
              </w:rPr>
              <w:t xml:space="preserve"> </w:t>
            </w:r>
            <w:r>
              <w:rPr>
                <w:rFonts w:eastAsia="Arial Unicode MS" w:cs="Times New Roman"/>
              </w:rPr>
              <w:t xml:space="preserve">49,7</w:t>
            </w:r>
            <w:r>
              <w:rPr>
                <w:rFonts w:eastAsia="Arial Unicode MS"/>
              </w:rPr>
            </w:r>
          </w:p>
        </w:tc>
      </w:tr>
      <w:tr>
        <w:trPr>
          <w:cantSplit/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 xml:space="preserve">Мучные кондитерские изделия</w:t>
            </w:r>
            <w:r>
              <w:rPr>
                <w:rFonts w:eastAsia="Arial Unicode MS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 xml:space="preserve">6</w:t>
            </w:r>
            <w:r>
              <w:rPr>
                <w:rFonts w:eastAsia="Arial Unicode MS"/>
                <w:b/>
                <w:bCs/>
                <w:szCs w:val="20"/>
              </w:rPr>
              <w:t xml:space="preserve">81</w:t>
            </w:r>
            <w:r>
              <w:rPr>
                <w:rFonts w:eastAsia="Arial Unicode MS"/>
                <w:b/>
                <w:bCs/>
                <w:szCs w:val="20"/>
              </w:rPr>
              <w:t xml:space="preserve">,</w:t>
            </w:r>
            <w:r>
              <w:rPr>
                <w:rFonts w:eastAsia="Arial Unicode MS"/>
                <w:b/>
                <w:bCs/>
                <w:szCs w:val="20"/>
              </w:rPr>
              <w:t xml:space="preserve">6</w:t>
            </w:r>
            <w:r>
              <w:rPr>
                <w:rFonts w:eastAsia="Arial Unicode MS"/>
                <w:b/>
                <w:b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 xml:space="preserve">6</w:t>
            </w:r>
            <w:r>
              <w:rPr>
                <w:rFonts w:eastAsia="Arial Unicode MS"/>
                <w:b/>
                <w:bCs/>
                <w:szCs w:val="20"/>
              </w:rPr>
              <w:t xml:space="preserve">41</w:t>
            </w:r>
            <w:r>
              <w:rPr>
                <w:rFonts w:eastAsia="Arial Unicode MS"/>
                <w:b/>
                <w:bCs/>
                <w:szCs w:val="20"/>
              </w:rPr>
              <w:t xml:space="preserve">,</w:t>
            </w:r>
            <w:r>
              <w:rPr>
                <w:rFonts w:eastAsia="Arial Unicode MS"/>
                <w:b/>
                <w:bCs/>
                <w:szCs w:val="20"/>
              </w:rPr>
              <w:t xml:space="preserve">2</w:t>
            </w:r>
            <w:r>
              <w:rPr>
                <w:rFonts w:eastAsia="Arial Unicode MS"/>
                <w:b/>
                <w:b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 xml:space="preserve">70</w:t>
            </w:r>
            <w:r>
              <w:rPr>
                <w:rFonts w:eastAsia="Arial Unicode MS"/>
                <w:b/>
                <w:bCs/>
                <w:szCs w:val="20"/>
              </w:rPr>
              <w:t xml:space="preserve">5,</w:t>
            </w:r>
            <w:r>
              <w:rPr>
                <w:rFonts w:eastAsia="Arial Unicode MS"/>
                <w:b/>
                <w:bCs/>
                <w:szCs w:val="20"/>
              </w:rPr>
              <w:t xml:space="preserve">6</w:t>
            </w:r>
            <w:r>
              <w:rPr>
                <w:rFonts w:eastAsia="Arial Unicode MS"/>
                <w:b/>
                <w:b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 xml:space="preserve">1.026,</w:t>
            </w:r>
            <w:r>
              <w:rPr>
                <w:rFonts w:eastAsia="Arial Unicode MS"/>
                <w:b/>
                <w:bCs/>
                <w:szCs w:val="20"/>
              </w:rPr>
              <w:t xml:space="preserve">7</w:t>
            </w:r>
            <w:r>
              <w:rPr>
                <w:rFonts w:eastAsia="Arial Unicode MS"/>
                <w:b/>
                <w:b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 xml:space="preserve">9</w:t>
            </w:r>
            <w:r>
              <w:rPr>
                <w:rFonts w:eastAsia="Arial Unicode MS"/>
                <w:b/>
                <w:bCs/>
                <w:szCs w:val="20"/>
              </w:rPr>
              <w:t xml:space="preserve">84</w:t>
            </w:r>
            <w:r>
              <w:rPr>
                <w:rFonts w:eastAsia="Arial Unicode MS"/>
                <w:b/>
                <w:bCs/>
                <w:szCs w:val="20"/>
              </w:rPr>
              <w:t xml:space="preserve">,8</w:t>
            </w:r>
            <w:r>
              <w:rPr>
                <w:rFonts w:eastAsia="Arial Unicode MS"/>
                <w:b/>
                <w:b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−</w:t>
            </w:r>
            <w:r>
              <w:rPr>
                <w:rFonts w:eastAsia="Arial Unicode MS"/>
                <w:b/>
                <w:bCs/>
                <w:szCs w:val="20"/>
              </w:rPr>
              <w:t xml:space="preserve"> </w:t>
            </w:r>
            <w:r>
              <w:rPr>
                <w:rFonts w:eastAsia="Arial Unicode MS"/>
                <w:b/>
                <w:bCs/>
                <w:szCs w:val="20"/>
              </w:rPr>
              <w:t xml:space="preserve">4</w:t>
            </w:r>
            <w:r>
              <w:rPr>
                <w:rFonts w:eastAsia="Arial Unicode MS"/>
                <w:b/>
                <w:bCs/>
                <w:szCs w:val="20"/>
              </w:rPr>
              <w:t xml:space="preserve">,</w:t>
            </w:r>
            <w:r>
              <w:rPr>
                <w:rFonts w:eastAsia="Arial Unicode MS"/>
                <w:b/>
                <w:bCs/>
                <w:szCs w:val="20"/>
              </w:rPr>
              <w:t xml:space="preserve">1</w:t>
            </w:r>
            <w:r>
              <w:rPr>
                <w:rFonts w:eastAsia="Arial Unicode MS"/>
                <w:b/>
                <w:bCs/>
                <w:szCs w:val="20"/>
              </w:rPr>
            </w:r>
          </w:p>
        </w:tc>
      </w:tr>
      <w:tr>
        <w:trPr>
          <w:cantSplit/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>
                <w:rFonts w:eastAsia="Arial Unicode MS"/>
              </w:rPr>
            </w:pPr>
            <w:r>
              <w:t xml:space="preserve">Вафли</w:t>
            </w:r>
            <w:r>
              <w:rPr>
                <w:rFonts w:eastAsia="Arial Unicode M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 xml:space="preserve">6</w:t>
            </w:r>
            <w:r>
              <w:rPr>
                <w:rFonts w:eastAsia="Arial Unicode MS"/>
                <w:szCs w:val="20"/>
              </w:rPr>
              <w:t xml:space="preserve">81</w:t>
            </w:r>
            <w:r>
              <w:rPr>
                <w:rFonts w:eastAsia="Arial Unicode MS"/>
                <w:szCs w:val="20"/>
              </w:rPr>
              <w:t xml:space="preserve">,</w:t>
            </w:r>
            <w:r>
              <w:rPr>
                <w:rFonts w:eastAsia="Arial Unicode MS"/>
                <w:szCs w:val="20"/>
              </w:rPr>
              <w:t xml:space="preserve">6</w:t>
            </w:r>
            <w:r>
              <w:rPr>
                <w:rFonts w:eastAsia="Arial Unicode MS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 xml:space="preserve">6</w:t>
            </w:r>
            <w:r>
              <w:rPr>
                <w:rFonts w:eastAsia="Arial Unicode MS"/>
                <w:szCs w:val="20"/>
              </w:rPr>
              <w:t xml:space="preserve">41</w:t>
            </w:r>
            <w:r>
              <w:rPr>
                <w:rFonts w:eastAsia="Arial Unicode MS"/>
                <w:szCs w:val="20"/>
              </w:rPr>
              <w:t xml:space="preserve">,</w:t>
            </w:r>
            <w:r>
              <w:rPr>
                <w:rFonts w:eastAsia="Arial Unicode MS"/>
                <w:szCs w:val="20"/>
              </w:rPr>
              <w:t xml:space="preserve">2</w:t>
            </w:r>
            <w:r>
              <w:rPr>
                <w:rFonts w:eastAsia="Arial Unicode MS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 xml:space="preserve">705</w:t>
            </w:r>
            <w:r>
              <w:rPr>
                <w:rFonts w:eastAsia="Arial Unicode MS"/>
                <w:szCs w:val="20"/>
              </w:rPr>
              <w:t xml:space="preserve">,</w:t>
            </w:r>
            <w:r>
              <w:rPr>
                <w:rFonts w:eastAsia="Arial Unicode MS"/>
                <w:szCs w:val="20"/>
              </w:rPr>
              <w:t xml:space="preserve">6</w:t>
            </w:r>
            <w:r>
              <w:rPr>
                <w:rFonts w:eastAsia="Arial Unicode MS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 xml:space="preserve">7</w:t>
            </w:r>
            <w:r>
              <w:rPr>
                <w:rFonts w:eastAsia="Arial Unicode MS"/>
                <w:szCs w:val="20"/>
              </w:rPr>
              <w:t xml:space="preserve">92</w:t>
            </w:r>
            <w:r>
              <w:rPr>
                <w:rFonts w:eastAsia="Arial Unicode MS"/>
                <w:szCs w:val="20"/>
              </w:rPr>
              <w:t xml:space="preserve">,3</w:t>
            </w:r>
            <w:r>
              <w:rPr>
                <w:rFonts w:eastAsia="Arial Unicode MS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 xml:space="preserve">7</w:t>
            </w:r>
            <w:r>
              <w:rPr>
                <w:rFonts w:eastAsia="Arial Unicode MS"/>
                <w:szCs w:val="20"/>
              </w:rPr>
              <w:t xml:space="preserve">70</w:t>
            </w:r>
            <w:r>
              <w:rPr>
                <w:rFonts w:eastAsia="Arial Unicode MS"/>
                <w:szCs w:val="20"/>
              </w:rPr>
              <w:t xml:space="preserve">,</w:t>
            </w:r>
            <w:r>
              <w:rPr>
                <w:rFonts w:eastAsia="Arial Unicode MS"/>
                <w:szCs w:val="20"/>
              </w:rPr>
              <w:t xml:space="preserve">2</w:t>
            </w:r>
            <w:r>
              <w:rPr>
                <w:rFonts w:eastAsia="Arial Unicode MS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szCs w:val="20"/>
              </w:rPr>
            </w:pPr>
            <w:r>
              <w:rPr>
                <w:szCs w:val="20"/>
              </w:rPr>
              <w:t xml:space="preserve">−</w:t>
            </w:r>
            <w:r>
              <w:rPr>
                <w:rFonts w:eastAsia="Arial Unicode MS"/>
                <w:szCs w:val="20"/>
              </w:rPr>
              <w:t xml:space="preserve"> </w:t>
            </w:r>
            <w:r>
              <w:rPr>
                <w:rFonts w:eastAsia="Arial Unicode MS"/>
                <w:szCs w:val="20"/>
              </w:rPr>
              <w:t xml:space="preserve">2</w:t>
            </w:r>
            <w:r>
              <w:rPr>
                <w:rFonts w:eastAsia="Arial Unicode MS"/>
                <w:szCs w:val="20"/>
              </w:rPr>
              <w:t xml:space="preserve">,8</w:t>
            </w:r>
            <w:r>
              <w:rPr>
                <w:rFonts w:eastAsia="Arial Unicode MS"/>
                <w:szCs w:val="20"/>
              </w:rPr>
            </w:r>
          </w:p>
        </w:tc>
      </w:tr>
      <w:tr>
        <w:trPr>
          <w:cantSplit/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Печенье</w:t>
            </w:r>
            <w:r>
              <w:rPr>
                <w:rFonts w:eastAsia="Arial Unicode M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 xml:space="preserve">0,0</w:t>
            </w:r>
            <w:r>
              <w:rPr>
                <w:rFonts w:eastAsia="Arial Unicode MS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 xml:space="preserve">0,0</w:t>
            </w:r>
            <w:r>
              <w:rPr>
                <w:rFonts w:eastAsia="Arial Unicode MS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 xml:space="preserve">0,0</w:t>
            </w:r>
            <w:r>
              <w:rPr>
                <w:rFonts w:eastAsia="Arial Unicode MS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 xml:space="preserve">0,2</w:t>
            </w:r>
            <w:r>
              <w:rPr>
                <w:rFonts w:eastAsia="Arial Unicode MS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 xml:space="preserve">0,1</w:t>
            </w:r>
            <w:r>
              <w:rPr>
                <w:rFonts w:eastAsia="Arial Unicode MS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szCs w:val="20"/>
              </w:rPr>
            </w:pPr>
            <w:r>
              <w:rPr>
                <w:rFonts w:ascii="Times New Roman" w:hAnsi="Times New Roman" w:eastAsia="Times New Roman" w:cs="Times New Roman"/>
                <w:szCs w:val="20"/>
              </w:rPr>
              <w:t xml:space="preserve">−</w:t>
            </w:r>
            <w:r>
              <w:rPr>
                <w:rFonts w:eastAsia="Arial Unicode MS" w:cs="Times New Roman"/>
                <w:szCs w:val="20"/>
              </w:rPr>
              <w:t xml:space="preserve"> </w:t>
            </w:r>
            <w:r>
              <w:rPr>
                <w:rFonts w:eastAsia="Arial Unicode MS" w:cs="Times New Roman"/>
                <w:szCs w:val="20"/>
              </w:rPr>
              <w:t xml:space="preserve">72,1</w:t>
            </w:r>
            <w:r>
              <w:rPr>
                <w:rFonts w:eastAsia="Arial Unicode MS"/>
                <w:szCs w:val="20"/>
              </w:rPr>
            </w:r>
          </w:p>
        </w:tc>
      </w:tr>
      <w:tr>
        <w:trPr>
          <w:cantSplit/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Пряники</w:t>
            </w:r>
            <w:r>
              <w:rPr>
                <w:rFonts w:eastAsia="Arial Unicode M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 xml:space="preserve">0,0</w:t>
            </w:r>
            <w:r>
              <w:rPr>
                <w:rFonts w:eastAsia="Arial Unicode MS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 xml:space="preserve">0,0</w:t>
            </w:r>
            <w:r>
              <w:rPr>
                <w:rFonts w:eastAsia="Arial Unicode MS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 xml:space="preserve">0,0</w:t>
            </w:r>
            <w:r>
              <w:rPr>
                <w:rFonts w:eastAsia="Arial Unicode MS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 xml:space="preserve">1,5</w:t>
            </w:r>
            <w:r>
              <w:rPr>
                <w:rFonts w:eastAsia="Arial Unicode MS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 xml:space="preserve">0,1</w:t>
            </w:r>
            <w:r>
              <w:rPr>
                <w:rFonts w:eastAsia="Arial Unicode MS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szCs w:val="20"/>
              </w:rPr>
            </w:pPr>
            <w:r>
              <w:rPr>
                <w:rFonts w:ascii="Times New Roman" w:hAnsi="Times New Roman" w:eastAsia="Times New Roman" w:cs="Times New Roman"/>
                <w:szCs w:val="20"/>
              </w:rPr>
              <w:t xml:space="preserve">−</w:t>
            </w:r>
            <w:r>
              <w:rPr>
                <w:rFonts w:eastAsia="Arial Unicode MS" w:cs="Times New Roman"/>
                <w:szCs w:val="20"/>
              </w:rPr>
              <w:t xml:space="preserve"> </w:t>
            </w:r>
            <w:r>
              <w:rPr>
                <w:rFonts w:eastAsia="Arial Unicode MS" w:cs="Times New Roman"/>
                <w:szCs w:val="20"/>
              </w:rPr>
              <w:t xml:space="preserve">93,1</w:t>
            </w:r>
            <w:r>
              <w:rPr>
                <w:rFonts w:eastAsia="Arial Unicode MS"/>
                <w:szCs w:val="20"/>
              </w:rPr>
            </w:r>
          </w:p>
        </w:tc>
      </w:tr>
      <w:tr>
        <w:trPr>
          <w:cantSplit/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Бисквиты</w:t>
            </w:r>
            <w:r>
              <w:rPr>
                <w:rFonts w:eastAsia="Arial Unicode MS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 xml:space="preserve">0,0</w:t>
            </w:r>
            <w:r>
              <w:rPr>
                <w:rFonts w:eastAsia="Arial Unicode MS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 xml:space="preserve">0,0</w:t>
            </w:r>
            <w:r>
              <w:rPr>
                <w:rFonts w:eastAsia="Arial Unicode MS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 xml:space="preserve">0,0</w:t>
            </w:r>
            <w:r>
              <w:rPr>
                <w:rFonts w:eastAsia="Arial Unicode MS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 xml:space="preserve">0,1</w:t>
            </w:r>
            <w:r>
              <w:rPr>
                <w:rFonts w:eastAsia="Arial Unicode MS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 xml:space="preserve">0,0</w:t>
            </w:r>
            <w:r>
              <w:rPr>
                <w:rFonts w:eastAsia="Arial Unicode MS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szCs w:val="20"/>
              </w:rPr>
            </w:pPr>
            <w:r>
              <w:rPr>
                <w:rFonts w:ascii="Times New Roman" w:hAnsi="Times New Roman" w:eastAsia="Times New Roman" w:cs="Times New Roman"/>
                <w:szCs w:val="20"/>
              </w:rPr>
              <w:t xml:space="preserve">−</w:t>
            </w:r>
            <w:r>
              <w:rPr>
                <w:rFonts w:eastAsia="Arial Unicode MS" w:cs="Times New Roman"/>
                <w:szCs w:val="20"/>
              </w:rPr>
              <w:t xml:space="preserve"> </w:t>
            </w:r>
            <w:r>
              <w:rPr>
                <w:rFonts w:eastAsia="Arial Unicode MS" w:cs="Times New Roman"/>
                <w:szCs w:val="20"/>
              </w:rPr>
              <w:t xml:space="preserve">100,0</w:t>
            </w:r>
            <w:r>
              <w:rPr>
                <w:rFonts w:eastAsia="Arial Unicode MS"/>
                <w:szCs w:val="20"/>
              </w:rPr>
            </w:r>
          </w:p>
        </w:tc>
      </w:tr>
      <w:tr>
        <w:trPr>
          <w:cantSplit/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 xml:space="preserve">Новогодние подарки</w:t>
            </w:r>
            <w:r>
              <w:rPr>
                <w:rFonts w:eastAsia="Arial Unicode MS"/>
                <w:b/>
                <w:bCs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 xml:space="preserve">0,0</w:t>
            </w:r>
            <w:r>
              <w:rPr>
                <w:rFonts w:eastAsia="Arial Unicode MS"/>
                <w:b/>
                <w:bCs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 xml:space="preserve">0,0</w:t>
            </w:r>
            <w:r>
              <w:rPr>
                <w:rFonts w:eastAsia="Arial Unicode MS"/>
                <w:b/>
                <w:bCs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 xml:space="preserve">0,0</w:t>
            </w:r>
            <w:r>
              <w:rPr>
                <w:rFonts w:eastAsia="Arial Unicode MS"/>
                <w:b/>
                <w:bCs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 xml:space="preserve">232</w:t>
            </w:r>
            <w:r>
              <w:rPr>
                <w:rFonts w:eastAsia="Arial Unicode MS"/>
                <w:b/>
                <w:bCs/>
                <w:szCs w:val="20"/>
              </w:rPr>
              <w:t xml:space="preserve">,</w:t>
            </w:r>
            <w:r>
              <w:rPr>
                <w:rFonts w:eastAsia="Arial Unicode MS"/>
                <w:b/>
                <w:bCs/>
                <w:szCs w:val="20"/>
              </w:rPr>
              <w:t xml:space="preserve">6</w:t>
            </w:r>
            <w:r>
              <w:rPr>
                <w:rFonts w:eastAsia="Arial Unicode MS"/>
                <w:b/>
                <w:bCs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 xml:space="preserve">214,4</w:t>
            </w:r>
            <w:r>
              <w:rPr>
                <w:rFonts w:eastAsia="Arial Unicode MS"/>
                <w:b/>
                <w:bCs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−</w:t>
            </w:r>
            <w:r>
              <w:rPr>
                <w:rFonts w:eastAsia="Times New Roman" w:cs="Times New Roman"/>
                <w:b/>
                <w:bCs/>
              </w:rPr>
              <w:t xml:space="preserve"> </w:t>
            </w:r>
            <w:r>
              <w:rPr>
                <w:rFonts w:eastAsia="Times New Roman" w:cs="Times New Roman"/>
                <w:b/>
                <w:bCs/>
              </w:rPr>
              <w:t xml:space="preserve">7,8</w:t>
            </w:r>
            <w:r/>
          </w:p>
        </w:tc>
      </w:tr>
      <w:tr>
        <w:trPr>
          <w:cantSplit/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Всего кондитерских изделий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 xml:space="preserve">5</w:t>
            </w:r>
            <w:r>
              <w:rPr>
                <w:rFonts w:eastAsia="Arial Unicode MS"/>
                <w:b/>
                <w:bCs/>
                <w:szCs w:val="20"/>
              </w:rPr>
              <w:t xml:space="preserve">.</w:t>
            </w:r>
            <w:r>
              <w:rPr>
                <w:rFonts w:eastAsia="Arial Unicode MS"/>
                <w:b/>
                <w:bCs/>
                <w:szCs w:val="20"/>
              </w:rPr>
              <w:t xml:space="preserve">7</w:t>
            </w:r>
            <w:r>
              <w:rPr>
                <w:rFonts w:eastAsia="Arial Unicode MS"/>
                <w:b/>
                <w:bCs/>
                <w:szCs w:val="20"/>
              </w:rPr>
              <w:t xml:space="preserve">6</w:t>
            </w:r>
            <w:r>
              <w:rPr>
                <w:rFonts w:eastAsia="Arial Unicode MS"/>
                <w:b/>
                <w:bCs/>
                <w:szCs w:val="20"/>
              </w:rPr>
              <w:t xml:space="preserve">9</w:t>
            </w:r>
            <w:r>
              <w:rPr>
                <w:rFonts w:eastAsia="Arial Unicode MS"/>
                <w:b/>
                <w:bCs/>
                <w:szCs w:val="20"/>
              </w:rPr>
              <w:t xml:space="preserve">,</w:t>
            </w:r>
            <w:r>
              <w:rPr>
                <w:rFonts w:eastAsia="Arial Unicode MS"/>
                <w:b/>
                <w:bCs/>
                <w:szCs w:val="20"/>
              </w:rPr>
              <w:t xml:space="preserve">2</w:t>
            </w:r>
            <w:r>
              <w:rPr>
                <w:rFonts w:eastAsia="Arial Unicode MS"/>
                <w:b/>
                <w:b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 xml:space="preserve">5</w:t>
            </w:r>
            <w:r>
              <w:rPr>
                <w:rFonts w:eastAsia="Arial Unicode MS"/>
                <w:b/>
                <w:bCs/>
                <w:szCs w:val="20"/>
              </w:rPr>
              <w:t xml:space="preserve">.5</w:t>
            </w:r>
            <w:r>
              <w:rPr>
                <w:rFonts w:eastAsia="Arial Unicode MS"/>
                <w:b/>
                <w:bCs/>
                <w:szCs w:val="20"/>
              </w:rPr>
              <w:t xml:space="preserve">23</w:t>
            </w:r>
            <w:r>
              <w:rPr>
                <w:rFonts w:eastAsia="Arial Unicode MS"/>
                <w:b/>
                <w:bCs/>
                <w:szCs w:val="20"/>
              </w:rPr>
              <w:t xml:space="preserve">,</w:t>
            </w:r>
            <w:r>
              <w:rPr>
                <w:rFonts w:eastAsia="Arial Unicode MS"/>
                <w:b/>
                <w:bCs/>
                <w:szCs w:val="20"/>
              </w:rPr>
              <w:t xml:space="preserve">6</w:t>
            </w:r>
            <w:r>
              <w:rPr>
                <w:rFonts w:eastAsia="Arial Unicode MS"/>
                <w:b/>
                <w:b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6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 xml:space="preserve">5</w:t>
            </w:r>
            <w:r>
              <w:rPr>
                <w:rFonts w:eastAsia="Arial Unicode MS"/>
                <w:b/>
                <w:bCs/>
                <w:szCs w:val="20"/>
              </w:rPr>
              <w:t xml:space="preserve">.</w:t>
            </w:r>
            <w:r>
              <w:rPr>
                <w:rFonts w:eastAsia="Arial Unicode MS"/>
                <w:b/>
                <w:bCs/>
                <w:szCs w:val="20"/>
              </w:rPr>
              <w:t xml:space="preserve">536</w:t>
            </w:r>
            <w:r>
              <w:rPr>
                <w:rFonts w:eastAsia="Arial Unicode MS"/>
                <w:b/>
                <w:bCs/>
                <w:szCs w:val="20"/>
              </w:rPr>
              <w:t xml:space="preserve">,</w:t>
            </w:r>
            <w:r>
              <w:rPr>
                <w:rFonts w:eastAsia="Arial Unicode MS"/>
                <w:b/>
                <w:bCs/>
                <w:szCs w:val="20"/>
              </w:rPr>
              <w:t xml:space="preserve">7</w:t>
            </w:r>
            <w:r>
              <w:rPr>
                <w:rFonts w:eastAsia="Arial Unicode MS"/>
                <w:b/>
                <w:b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 xml:space="preserve">4</w:t>
            </w:r>
            <w:r>
              <w:rPr>
                <w:rFonts w:eastAsia="Arial Unicode MS"/>
                <w:b/>
                <w:bCs/>
                <w:szCs w:val="20"/>
              </w:rPr>
              <w:t xml:space="preserve">.</w:t>
            </w:r>
            <w:r>
              <w:rPr>
                <w:rFonts w:eastAsia="Arial Unicode MS"/>
                <w:b/>
                <w:bCs/>
                <w:szCs w:val="20"/>
              </w:rPr>
              <w:t xml:space="preserve">364</w:t>
            </w:r>
            <w:r>
              <w:rPr>
                <w:rFonts w:eastAsia="Arial Unicode MS"/>
                <w:b/>
                <w:bCs/>
                <w:szCs w:val="20"/>
              </w:rPr>
              <w:t xml:space="preserve">,</w:t>
            </w:r>
            <w:r>
              <w:rPr>
                <w:rFonts w:eastAsia="Arial Unicode MS"/>
                <w:b/>
                <w:bCs/>
                <w:szCs w:val="20"/>
              </w:rPr>
              <w:t xml:space="preserve">7</w:t>
            </w:r>
            <w:r>
              <w:rPr>
                <w:rFonts w:eastAsia="Arial Unicode MS"/>
                <w:b/>
                <w:b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 xml:space="preserve">4.0</w:t>
            </w:r>
            <w:r>
              <w:rPr>
                <w:rFonts w:eastAsia="Arial Unicode MS"/>
                <w:b/>
                <w:bCs/>
                <w:szCs w:val="20"/>
              </w:rPr>
              <w:t xml:space="preserve">22</w:t>
            </w:r>
            <w:r>
              <w:rPr>
                <w:rFonts w:eastAsia="Arial Unicode MS"/>
                <w:b/>
                <w:bCs/>
                <w:szCs w:val="20"/>
              </w:rPr>
              <w:t xml:space="preserve">,</w:t>
            </w:r>
            <w:r>
              <w:rPr>
                <w:rFonts w:eastAsia="Arial Unicode MS"/>
                <w:b/>
                <w:bCs/>
                <w:szCs w:val="20"/>
              </w:rPr>
              <w:t xml:space="preserve">3</w:t>
            </w:r>
            <w:r>
              <w:rPr>
                <w:rFonts w:eastAsia="Arial Unicode MS"/>
                <w:b/>
                <w:bCs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Cs w:val="20"/>
              </w:rPr>
              <w:t xml:space="preserve">−</w:t>
            </w:r>
            <w:r>
              <w:rPr>
                <w:rFonts w:eastAsia="Arial Unicode MS"/>
                <w:b/>
                <w:bCs/>
                <w:szCs w:val="20"/>
              </w:rPr>
              <w:t xml:space="preserve"> </w:t>
            </w:r>
            <w:r>
              <w:rPr>
                <w:rFonts w:eastAsia="Arial Unicode MS"/>
                <w:b/>
                <w:bCs/>
                <w:szCs w:val="20"/>
              </w:rPr>
              <w:t xml:space="preserve">7</w:t>
            </w:r>
            <w:r>
              <w:rPr>
                <w:rFonts w:eastAsia="Arial Unicode MS"/>
                <w:b/>
                <w:bCs/>
                <w:szCs w:val="20"/>
              </w:rPr>
              <w:t xml:space="preserve">,8</w:t>
            </w:r>
            <w:r>
              <w:rPr>
                <w:rFonts w:eastAsia="Arial Unicode MS"/>
                <w:b/>
                <w:bCs/>
                <w:szCs w:val="20"/>
              </w:rPr>
            </w:r>
          </w:p>
        </w:tc>
      </w:tr>
    </w:tbl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 w:firstLine="567"/>
        <w:jc w:val="both"/>
        <w:rPr/>
      </w:pPr>
      <w:r>
        <w:t xml:space="preserve">За 2024 год объем продаж собственной товарной продукции составил 4.0</w:t>
      </w:r>
      <w:r>
        <w:t xml:space="preserve">22</w:t>
      </w:r>
      <w:r>
        <w:t xml:space="preserve">,</w:t>
      </w:r>
      <w:r>
        <w:t xml:space="preserve">3</w:t>
      </w:r>
      <w:r>
        <w:t xml:space="preserve"> тонн, включая реализацию продукции на единую торговую площадку ООО «Объединенные кондитеры».</w:t>
      </w:r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 w:firstLine="567"/>
        <w:jc w:val="both"/>
        <w:rPr/>
      </w:pPr>
      <w:r>
        <w:t xml:space="preserve">Динамика собственных продаж 2024 года в разбивке по кварталам (в тоннах):</w:t>
      </w:r>
      <w:r/>
    </w:p>
    <w:p>
      <w:pPr>
        <w:pStyle w:val="844"/>
        <w:widowControl w:val="true"/>
        <w:pBdr/>
        <w:bidi w:val="false"/>
        <w:spacing w:after="0" w:before="0"/>
        <w:ind w:right="0" w:firstLine="0" w:left="0"/>
        <w:jc w:val="both"/>
        <w:rPr/>
      </w:pPr>
      <w:r/>
      <w:r/>
    </w:p>
    <w:p>
      <w:pPr>
        <w:pStyle w:val="844"/>
        <w:widowControl w:val="true"/>
        <w:pBdr/>
        <w:bidi w:val="false"/>
        <w:spacing w:after="0" w:before="0"/>
        <w:ind w:right="0" w:firstLine="0" w:left="0"/>
        <w:jc w:val="both"/>
        <w:rPr/>
      </w:pPr>
      <w:r>
        <w:object w:dxaOrig="0" w:dyaOrig="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" o:spid="_x0000_s1" type="#_x0000_t75" style="position:absolute;z-index:3072;o:allowoverlap:true;o:allowincell:true;mso-position-horizontal-relative:text;margin-left:163.20pt;mso-position-horizontal:absolute;mso-position-vertical-relative:text;margin-top:0.00pt;mso-position-vertical:absolute;width:416.85pt;height:267.40pt;mso-wrap-distance-left:9.00pt;mso-wrap-distance-top:0.00pt;mso-wrap-distance-right:0.00pt;mso-wrap-distance-bottom:0.00pt;z-index:1;" filled="f" stroked="false">
            <v:imagedata r:id="rId16" o:title=""/>
            <o:lock v:ext="edit" rotation="t"/>
          </v:shape>
          <o:OLEObject DrawAspect="Content" r:id="rId17" ObjectID="_1525041" ProgID="Excel.Sheet.8" ShapeID="_x0000_i1" Type="Embed"/>
        </w:object>
      </w:r>
      <w:r/>
    </w:p>
    <w:p>
      <w:pPr>
        <w:pStyle w:val="844"/>
        <w:widowControl w:val="true"/>
        <w:pBdr/>
        <w:bidi w:val="false"/>
        <w:spacing w:after="0" w:before="0"/>
        <w:ind w:right="0" w:firstLine="0" w:left="0"/>
        <w:jc w:val="both"/>
        <w:rPr/>
      </w:pPr>
      <w:r/>
      <w:r/>
    </w:p>
    <w:p>
      <w:pPr>
        <w:pStyle w:val="844"/>
        <w:widowControl w:val="true"/>
        <w:pBdr/>
        <w:bidi w:val="false"/>
        <w:spacing w:after="0" w:before="0"/>
        <w:ind w:right="0" w:firstLine="0" w:left="0"/>
        <w:jc w:val="both"/>
        <w:rPr/>
      </w:pPr>
      <w:r/>
      <w:r/>
    </w:p>
    <w:p>
      <w:pPr>
        <w:pStyle w:val="844"/>
        <w:widowControl w:val="true"/>
        <w:pBdr/>
        <w:bidi w:val="false"/>
        <w:spacing w:after="0" w:before="0"/>
        <w:ind w:right="0" w:firstLine="0" w:left="0"/>
        <w:jc w:val="both"/>
        <w:rPr/>
      </w:pPr>
      <w:r/>
      <w:r/>
    </w:p>
    <w:p>
      <w:pPr>
        <w:pStyle w:val="844"/>
        <w:widowControl w:val="true"/>
        <w:pBdr/>
        <w:bidi w:val="false"/>
        <w:spacing w:after="0" w:before="0"/>
        <w:ind w:right="0" w:firstLine="0" w:left="0"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  <w:r/>
      <w:r/>
      <w:r/>
      <w:r/>
      <w:r/>
      <w:r/>
      <w:r/>
      <w:r/>
      <w:r/>
      <w:r/>
      <w:r/>
      <w:r/>
      <w:bookmarkStart w:id="13" w:name="_MON_1422944480"/>
      <w:r/>
      <w:bookmarkStart w:id="14" w:name="_MON_1390719594"/>
      <w:r/>
      <w:bookmarkStart w:id="15" w:name="_MON_1390719852"/>
      <w:r/>
      <w:bookmarkStart w:id="16" w:name="_MON_1454241136"/>
      <w:r/>
      <w:bookmarkStart w:id="17" w:name="_MON_1390735578"/>
      <w:r/>
      <w:bookmarkStart w:id="18" w:name="_MON_1390736338"/>
      <w:r/>
      <w:bookmarkStart w:id="19" w:name="_MON_1422346839"/>
      <w:r/>
      <w:bookmarkStart w:id="20" w:name="_MON_1422346865"/>
      <w:r/>
      <w:bookmarkStart w:id="21" w:name="_MON_1422346875"/>
      <w:r/>
      <w:bookmarkStart w:id="22" w:name="_MON_1364129005"/>
      <w:r/>
      <w:bookmarkStart w:id="23" w:name="_MON_1364129284"/>
      <w:r/>
      <w:bookmarkStart w:id="24" w:name="_MON_1364129306"/>
      <w:r/>
      <w:bookmarkStart w:id="25" w:name="_MON_1422346781"/>
      <w:r/>
      <w:bookmarkEnd w:id="13"/>
      <w:r/>
      <w:bookmarkEnd w:id="14"/>
      <w:r/>
      <w:bookmarkEnd w:id="15"/>
      <w:r/>
      <w:bookmarkEnd w:id="16"/>
      <w:r/>
      <w:bookmarkEnd w:id="17"/>
      <w:r/>
      <w:bookmarkEnd w:id="18"/>
      <w:r/>
      <w:bookmarkEnd w:id="19"/>
      <w:r/>
      <w:bookmarkEnd w:id="20"/>
      <w:r/>
      <w:bookmarkEnd w:id="21"/>
      <w:r/>
      <w:bookmarkEnd w:id="22"/>
      <w:r/>
      <w:bookmarkEnd w:id="23"/>
      <w:r/>
      <w:bookmarkEnd w:id="24"/>
      <w:r/>
      <w:bookmarkEnd w:id="25"/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 w:firstLine="567"/>
        <w:jc w:val="both"/>
        <w:rPr/>
      </w:pPr>
      <w:r>
        <w:t xml:space="preserve">Во 2-ом квартале наблюдается увеличение объемов продаж, рост по сравнению с 1-ым кварталом составил 12,8 тонны.</w:t>
      </w:r>
      <w:r/>
    </w:p>
    <w:p>
      <w:pPr>
        <w:pStyle w:val="844"/>
        <w:pBdr/>
        <w:spacing/>
        <w:ind w:firstLine="567"/>
        <w:jc w:val="both"/>
        <w:rPr/>
      </w:pPr>
      <w:r>
        <w:t xml:space="preserve">В 3-ем квартале также произошло увеличение объемов продаж, увеличение по сравнению со 2-ым кварталом составило 1,6 тонны.</w:t>
      </w:r>
      <w:r/>
    </w:p>
    <w:p>
      <w:pPr>
        <w:pStyle w:val="844"/>
        <w:pBdr/>
        <w:spacing/>
        <w:ind w:firstLine="567"/>
        <w:jc w:val="both"/>
        <w:rPr/>
      </w:pPr>
      <w:r>
        <w:t xml:space="preserve">В 4-ом квартале наблюдается снижение объемов продаж, снижение по сравнению с 3-им кварталом составило 65,3 тонны.</w:t>
      </w:r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 w:firstLine="567"/>
        <w:jc w:val="both"/>
        <w:rPr/>
      </w:pPr>
      <w:r>
        <w:t xml:space="preserve">За 2024 год среднесписочная численность работников по сравнению с 2023 годом увеличилась на 1,84 % и составила 326 человек. При этом численность промышленно-производственного персонала (ППП) увеличилась на 1,84 % и составила 326 человек.</w:t>
      </w:r>
      <w:r/>
    </w:p>
    <w:p>
      <w:pPr>
        <w:pStyle w:val="844"/>
        <w:pBdr/>
        <w:spacing/>
        <w:ind w:firstLine="567"/>
        <w:jc w:val="both"/>
        <w:rPr/>
      </w:pPr>
      <w:r>
        <w:t xml:space="preserve">Среднемесячная заработн</w:t>
      </w:r>
      <w:r>
        <w:t xml:space="preserve">ая плата работников Общества в 2024 году увеличилась по сравнению с 2023 годом на 33,5 % и составила 45.919,53 рублей. Среднемесячная заработная плата ППП по Обществу за 2024 год увеличилась по сравнению с 2023 годом на 33,5 % и составила 45.919,53 рублей.</w:t>
      </w:r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center"/>
        <w:rPr/>
      </w:pPr>
      <w:r>
        <w:rPr>
          <w:b/>
        </w:rPr>
        <w:t xml:space="preserve">Анализ динамики и структуры источников капитала</w:t>
      </w:r>
      <w:r/>
    </w:p>
    <w:p>
      <w:pPr>
        <w:pStyle w:val="844"/>
        <w:pBdr/>
        <w:spacing/>
        <w:ind/>
        <w:jc w:val="both"/>
        <w:rPr/>
      </w:pPr>
      <w:r/>
      <w:r/>
    </w:p>
    <w:tbl>
      <w:tblPr>
        <w:tblW w:w="13928" w:type="dxa"/>
        <w:tblInd w:w="0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99"/>
        <w:gridCol w:w="4110"/>
        <w:gridCol w:w="1454"/>
        <w:gridCol w:w="1450"/>
        <w:gridCol w:w="1645"/>
        <w:gridCol w:w="1415"/>
        <w:gridCol w:w="1420"/>
        <w:gridCol w:w="1533"/>
      </w:tblGrid>
      <w:tr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9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r>
              <w:rPr>
                <w:b/>
              </w:rPr>
              <w:t xml:space="preserve">п/п</w:t>
            </w:r>
            <w:r>
              <w:rPr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Источники капитала</w:t>
            </w:r>
            <w:r>
              <w:rPr>
                <w:b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54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Сумма, тыс. руб.</w:t>
            </w:r>
            <w:r>
              <w:rPr>
                <w:b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368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Структура капитала, в %</w:t>
            </w:r>
            <w:r>
              <w:rPr>
                <w:b/>
              </w:rPr>
            </w:r>
          </w:p>
        </w:tc>
      </w:tr>
      <w:tr>
        <w:trPr>
          <w:trHeight w:val="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01.01.202</w:t>
            </w:r>
            <w:r>
              <w:rPr>
                <w:b/>
                <w:lang w:val="en-US"/>
              </w:rPr>
              <w:t xml:space="preserve">4</w:t>
            </w:r>
            <w:r>
              <w:rPr>
                <w:b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5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31.12.202</w:t>
            </w:r>
            <w:r>
              <w:rPr>
                <w:b/>
                <w:lang w:val="en-US"/>
              </w:rPr>
              <w:t xml:space="preserve">4</w:t>
            </w:r>
            <w:r>
              <w:rPr>
                <w:b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6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Отклонение</w:t>
            </w:r>
            <w:r>
              <w:rPr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01.01.202</w:t>
            </w:r>
            <w:r>
              <w:rPr>
                <w:b/>
                <w:lang w:val="en-US"/>
              </w:rPr>
              <w:t xml:space="preserve">4</w:t>
            </w:r>
            <w:r>
              <w:rPr>
                <w:b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31.12.202</w:t>
            </w:r>
            <w:r>
              <w:rPr>
                <w:b/>
                <w:lang w:val="en-US"/>
              </w:rPr>
              <w:t xml:space="preserve">4</w:t>
            </w:r>
            <w:r>
              <w:rPr>
                <w:b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Отклонение</w:t>
            </w:r>
            <w:r>
              <w:rPr>
                <w:b/>
              </w:rPr>
            </w:r>
          </w:p>
        </w:tc>
      </w:tr>
      <w:tr>
        <w:trPr>
          <w:trHeight w:val="7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Всего источников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1.058.637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5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1.118.034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6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59.397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100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100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—</w:t>
            </w:r>
            <w:r/>
          </w:p>
        </w:tc>
      </w:tr>
      <w:tr>
        <w:trPr>
          <w:trHeight w:val="8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2.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Собственный капитал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671.069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5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714.420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6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43.351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63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73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+ 10</w:t>
            </w:r>
            <w:r/>
          </w:p>
        </w:tc>
      </w:tr>
      <w:tr>
        <w:trPr>
          <w:trHeight w:val="84"/>
        </w:trPr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3.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Заёмный капитал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145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387.568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145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403.614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16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16.046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37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27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153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10</w:t>
            </w:r>
            <w:r/>
          </w:p>
        </w:tc>
      </w:tr>
      <w:tr>
        <w:trPr>
          <w:trHeight w:val="7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3.1.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Долгосрочные кредиты и займы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—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—</w:t>
            </w:r>
            <w:r/>
          </w:p>
        </w:tc>
      </w:tr>
      <w:tr>
        <w:trPr>
          <w:trHeight w:val="7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3.2.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Краткосрочные кредиты и займы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5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6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—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—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3.3.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Кредиторская задолженность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387.568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403.614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16.046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37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27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10</w:t>
            </w:r>
            <w:r/>
          </w:p>
        </w:tc>
      </w:tr>
    </w:tbl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 w:firstLine="567"/>
        <w:jc w:val="both"/>
        <w:rPr/>
      </w:pPr>
      <w:r>
        <w:t xml:space="preserve">Анализ структуры источников капитала показывает, что структура источников капитала изменилась по сравнению с 2023 годом. Дол</w:t>
      </w:r>
      <w:r>
        <w:t xml:space="preserve">и собственного и заемного капитала на 31.12.2024 года составили 73 % и 27 % соответственно. Произошло увеличение доли собственного капитала. В структуре заемного капитала на 31.12.2024 года отсутствуют как долгосрочные, так и краткосрочные кредиты и займы.</w:t>
      </w:r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center"/>
        <w:rPr>
          <w:b/>
          <w:highlight w:val="yellow"/>
        </w:rPr>
      </w:pPr>
      <w:r>
        <w:rPr>
          <w:b/>
        </w:rPr>
        <w:t xml:space="preserve">Анализ структуры прибыли</w:t>
      </w:r>
      <w:r>
        <w:rPr>
          <w:b/>
          <w:highlight w:val="yellow"/>
        </w:rPr>
      </w:r>
    </w:p>
    <w:p>
      <w:pPr>
        <w:pStyle w:val="844"/>
        <w:pBdr/>
        <w:spacing/>
        <w:ind/>
        <w:jc w:val="both"/>
        <w:rPr/>
      </w:pPr>
      <w:r/>
      <w:r/>
    </w:p>
    <w:tbl>
      <w:tblPr>
        <w:tblW w:w="13910" w:type="dxa"/>
        <w:tblInd w:w="90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98"/>
        <w:gridCol w:w="4223"/>
        <w:gridCol w:w="1509"/>
        <w:gridCol w:w="1511"/>
        <w:gridCol w:w="1519"/>
        <w:gridCol w:w="4249"/>
      </w:tblGrid>
      <w:tr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8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r>
              <w:rPr>
                <w:b/>
              </w:rPr>
              <w:t xml:space="preserve">п/п</w:t>
            </w:r>
            <w:r>
              <w:rPr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Показатели</w:t>
            </w:r>
            <w:r>
              <w:rPr>
                <w:b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53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Сумма, тыс. руб.</w:t>
            </w:r>
            <w:r>
              <w:rPr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49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Темпы изменения, в %</w:t>
            </w:r>
            <w:r>
              <w:rPr>
                <w:b/>
              </w:rPr>
            </w:r>
          </w:p>
        </w:tc>
      </w:tr>
      <w:tr>
        <w:trPr>
          <w:trHeight w:val="122"/>
        </w:trPr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8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2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150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01.01.202</w:t>
            </w:r>
            <w:r>
              <w:rPr>
                <w:b/>
                <w:lang w:val="en-US"/>
              </w:rPr>
              <w:t xml:space="preserve">4</w:t>
            </w:r>
            <w:r>
              <w:rPr>
                <w:b/>
                <w:lang w:val="en-US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31.12.202</w:t>
            </w:r>
            <w:r>
              <w:rPr>
                <w:b/>
                <w:lang w:val="en-US"/>
              </w:rPr>
              <w:t xml:space="preserve">4</w:t>
            </w:r>
            <w:r>
              <w:rPr>
                <w:b/>
                <w:lang w:val="en-US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151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Изменение</w:t>
            </w:r>
            <w:r>
              <w:rPr>
                <w:b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424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rPr>
          <w:trHeight w:val="112"/>
        </w:trPr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8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1.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2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Прибыль от продаж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150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144.716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43.388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151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101.328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4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70,0</w:t>
            </w:r>
            <w:r/>
          </w:p>
        </w:tc>
      </w:tr>
      <w:tr>
        <w:trPr>
          <w:trHeight w:val="102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8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2.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Внереализационный результат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– </w:t>
            </w:r>
            <w:r>
              <w:t xml:space="preserve">12.611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12.720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1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+ 25.331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4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+ 200,9</w:t>
            </w:r>
            <w:r/>
          </w:p>
        </w:tc>
      </w:tr>
      <w:tr>
        <w:trPr>
          <w:trHeight w:val="92"/>
        </w:trPr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8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2.1.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2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прочие доходы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150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18.613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35.825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151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+ 17.212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4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+ 92,5</w:t>
            </w:r>
            <w:r/>
          </w:p>
        </w:tc>
      </w:tr>
      <w:tr>
        <w:trPr>
          <w:trHeight w:val="96"/>
        </w:trPr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8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2.2.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2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прочие расходы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150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31.224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23.105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151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8.119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4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26,0</w:t>
            </w:r>
            <w:r/>
          </w:p>
        </w:tc>
      </w:tr>
      <w:tr>
        <w:trPr>
          <w:trHeight w:val="10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8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3.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Прибыль до налогообложения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132.105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56.108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1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75.997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4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57,5</w:t>
            </w:r>
            <w:r/>
          </w:p>
        </w:tc>
      </w:tr>
      <w:tr>
        <w:trPr>
          <w:trHeight w:val="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8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4.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Чистая прибыль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100.426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1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44.186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51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56.240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4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− </w:t>
            </w:r>
            <w:r>
              <w:t xml:space="preserve">56,0</w:t>
            </w:r>
            <w:r/>
          </w:p>
        </w:tc>
      </w:tr>
    </w:tbl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 w:firstLine="567"/>
        <w:jc w:val="both"/>
        <w:rPr/>
      </w:pPr>
      <w:r>
        <w:t xml:space="preserve">Из вышеприведенной таблицы видно, что в 2024 году получена чистая прибыль в сумме 44,2 миллиона рублей. Снижение чистой прибыли к 2023 году составило 56,24 миллиона рублей (− 56,0 %).</w:t>
      </w:r>
      <w:r/>
    </w:p>
    <w:p>
      <w:pPr>
        <w:pStyle w:val="844"/>
        <w:pBdr/>
        <w:spacing/>
        <w:ind w:firstLine="567"/>
        <w:jc w:val="both"/>
        <w:rPr/>
      </w:pPr>
      <w:r>
        <w:t xml:space="preserve">Данный результат является следствием:</w:t>
      </w:r>
      <w:r/>
    </w:p>
    <w:p>
      <w:pPr>
        <w:pStyle w:val="844"/>
        <w:numPr>
          <w:ilvl w:val="0"/>
          <w:numId w:val="4"/>
        </w:numPr>
        <w:pBdr/>
        <w:spacing/>
        <w:ind w:hanging="284" w:left="284"/>
        <w:jc w:val="both"/>
        <w:rPr/>
      </w:pPr>
      <w:r>
        <w:t xml:space="preserve">реализации продукции в объеме 4.022,3 тонны (по сравнению с 2022 годом произошло снижение на 323,4 тонны (− 7,4 %));</w:t>
      </w:r>
      <w:r/>
    </w:p>
    <w:p>
      <w:pPr>
        <w:pStyle w:val="844"/>
        <w:numPr>
          <w:ilvl w:val="0"/>
          <w:numId w:val="4"/>
        </w:numPr>
        <w:pBdr/>
        <w:spacing/>
        <w:ind w:hanging="284" w:left="284"/>
        <w:jc w:val="both"/>
        <w:rPr/>
      </w:pPr>
      <w:r>
        <w:t xml:space="preserve">получения выручки в объеме 911,65 миллиона рублей (снижение по сравнению с 2023 годом на 55,52 миллиона рублей (− 5,7 %));</w:t>
      </w:r>
      <w:r/>
    </w:p>
    <w:p>
      <w:pPr>
        <w:pStyle w:val="844"/>
        <w:numPr>
          <w:ilvl w:val="0"/>
          <w:numId w:val="4"/>
        </w:numPr>
        <w:pBdr/>
        <w:spacing/>
        <w:ind w:hanging="284" w:left="284"/>
        <w:jc w:val="both"/>
        <w:rPr/>
      </w:pPr>
      <w:r>
        <w:t xml:space="preserve">увеличения себестоимости продаж, которое составило 36,69 миллиона рублей (+ 4,9 %).</w:t>
      </w:r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center"/>
        <w:rPr>
          <w:b/>
        </w:rPr>
      </w:pPr>
      <w:r>
        <w:rPr>
          <w:b/>
        </w:rPr>
        <w:t xml:space="preserve">Мероприятия по ремонту техники, помещений и зданий</w:t>
      </w:r>
      <w:r>
        <w:rPr>
          <w:b/>
        </w:rPr>
      </w:r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 w:firstLine="567"/>
        <w:jc w:val="both"/>
        <w:rPr>
          <w:b/>
        </w:rPr>
      </w:pPr>
      <w:r>
        <w:rPr>
          <w:b/>
        </w:rPr>
        <w:t xml:space="preserve">1. Ремонтно-строительные работы:</w:t>
      </w:r>
      <w:r>
        <w:rPr>
          <w:b/>
        </w:rPr>
      </w:r>
    </w:p>
    <w:p>
      <w:pPr>
        <w:pStyle w:val="844"/>
        <w:pBdr/>
        <w:spacing/>
        <w:ind/>
        <w:jc w:val="both"/>
        <w:rPr/>
      </w:pPr>
      <w:r>
        <w:t xml:space="preserve">1. ремонт асфальтового покрытия на территории Общества;</w:t>
      </w:r>
      <w:r/>
    </w:p>
    <w:p>
      <w:pPr>
        <w:pStyle w:val="844"/>
        <w:pBdr/>
        <w:spacing/>
        <w:ind/>
        <w:jc w:val="both"/>
        <w:rPr/>
      </w:pPr>
      <w:r>
        <w:t xml:space="preserve">2. монтаж противопожарных дверей в главном корпусе;</w:t>
      </w:r>
      <w:r/>
    </w:p>
    <w:p>
      <w:pPr>
        <w:pStyle w:val="844"/>
        <w:pBdr/>
        <w:spacing/>
        <w:ind/>
        <w:jc w:val="both"/>
        <w:rPr/>
      </w:pPr>
      <w:r>
        <w:t xml:space="preserve">3. ремонт помещений склада сырья на 1-ом этаже административного корпуса, в том числе усиление железобетонных несущих колонн;</w:t>
      </w:r>
      <w:r/>
    </w:p>
    <w:p>
      <w:pPr>
        <w:pStyle w:val="844"/>
        <w:pBdr/>
        <w:spacing/>
        <w:ind/>
        <w:jc w:val="both"/>
        <w:rPr/>
      </w:pPr>
      <w:r>
        <w:t xml:space="preserve">4. ремонт помещений на участке фасовки новогодних подарков с демонтажом перегородок, заливкой полов и заменой деревянных окон на окна из ПВХ.</w:t>
      </w:r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 w:firstLine="567"/>
        <w:jc w:val="both"/>
        <w:rPr/>
      </w:pPr>
      <w:r>
        <w:rPr>
          <w:b/>
        </w:rPr>
        <w:t xml:space="preserve">2. Ремонтно-монтажные работы:</w:t>
      </w:r>
      <w:r/>
    </w:p>
    <w:p>
      <w:pPr>
        <w:pStyle w:val="844"/>
        <w:pBdr/>
        <w:spacing/>
        <w:ind/>
        <w:jc w:val="both"/>
        <w:rPr/>
      </w:pPr>
      <w:r>
        <w:t xml:space="preserve">1. ввод в эксплуатацию карамельной линии ШАГ30 в рамках проекта «Релокация РФ»;</w:t>
      </w:r>
      <w:r/>
    </w:p>
    <w:p>
      <w:pPr>
        <w:pStyle w:val="844"/>
        <w:pBdr/>
        <w:spacing/>
        <w:ind/>
        <w:jc w:val="both"/>
        <w:rPr/>
      </w:pPr>
      <w:r>
        <w:t xml:space="preserve">2. монтаж дизельной электростанции мощностью 100 кВт;</w:t>
      </w:r>
      <w:r/>
    </w:p>
    <w:p>
      <w:pPr>
        <w:pStyle w:val="844"/>
        <w:pBdr/>
        <w:spacing/>
        <w:ind/>
        <w:jc w:val="both"/>
        <w:rPr/>
      </w:pPr>
      <w:r>
        <w:t xml:space="preserve">3. замена грузового лифта на три остановки в главном корпусе;</w:t>
      </w:r>
      <w:r/>
    </w:p>
    <w:p>
      <w:pPr>
        <w:pStyle w:val="844"/>
        <w:pBdr/>
        <w:spacing/>
        <w:ind/>
        <w:jc w:val="both"/>
        <w:rPr/>
      </w:pPr>
      <w:r>
        <w:t xml:space="preserve">4. монтаж системы кондиционирования на складе сырья на 1-ом этаже административного корпуса;</w:t>
      </w:r>
      <w:r/>
    </w:p>
    <w:p>
      <w:pPr>
        <w:pStyle w:val="844"/>
        <w:pBdr/>
        <w:spacing/>
        <w:ind/>
        <w:jc w:val="both"/>
        <w:rPr/>
      </w:pPr>
      <w:r>
        <w:t xml:space="preserve">5. замена охлаждающего тоннеля на линии ШПФ;</w:t>
      </w:r>
      <w:r/>
    </w:p>
    <w:p>
      <w:pPr>
        <w:pStyle w:val="844"/>
        <w:pBdr/>
        <w:spacing/>
        <w:ind/>
        <w:jc w:val="both"/>
        <w:rPr/>
      </w:pPr>
      <w:r>
        <w:t xml:space="preserve">6. замена силовых электрощитов на 2-ом этаже главного корпуса.</w:t>
      </w:r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 w:firstLine="567"/>
        <w:jc w:val="both"/>
        <w:rPr/>
      </w:pPr>
      <w:r>
        <w:rPr>
          <w:b/>
        </w:rPr>
        <w:t xml:space="preserve">3. Сантехнические работы:</w:t>
      </w:r>
      <w:r/>
    </w:p>
    <w:p>
      <w:pPr>
        <w:pStyle w:val="844"/>
        <w:pBdr/>
        <w:spacing/>
        <w:ind/>
        <w:jc w:val="both"/>
        <w:rPr/>
      </w:pPr>
      <w:r>
        <w:t xml:space="preserve">1. капитальный ремонт водопровода от городского коллектора до ввода в главный корпус;</w:t>
      </w:r>
      <w:r/>
    </w:p>
    <w:p>
      <w:pPr>
        <w:pStyle w:val="844"/>
        <w:pBdr/>
        <w:spacing/>
        <w:ind/>
        <w:jc w:val="both"/>
        <w:rPr/>
      </w:pPr>
      <w:r>
        <w:t xml:space="preserve">2. ремонт узла горячего водоснабжения главного корпуса.</w:t>
      </w:r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 w:firstLine="567"/>
        <w:jc w:val="both"/>
        <w:rPr/>
      </w:pPr>
      <w:r>
        <w:rPr>
          <w:b/>
        </w:rPr>
        <w:t xml:space="preserve">4. Прочие работы:</w:t>
      </w:r>
      <w:r/>
    </w:p>
    <w:p>
      <w:pPr>
        <w:pStyle w:val="844"/>
        <w:pBdr/>
        <w:spacing/>
        <w:ind/>
        <w:jc w:val="both"/>
        <w:rPr/>
      </w:pPr>
      <w:r>
        <w:t xml:space="preserve">1. замена парового коллектора в здании котельной;</w:t>
      </w:r>
      <w:r/>
    </w:p>
    <w:p>
      <w:pPr>
        <w:pStyle w:val="844"/>
        <w:pBdr/>
        <w:spacing/>
        <w:ind/>
        <w:jc w:val="both"/>
        <w:rPr/>
      </w:pPr>
      <w:r>
        <w:t xml:space="preserve">2. разработка проектной документации и монтаж системы АПС и СОУЭ на 2-ом этаже административного корпуса;</w:t>
      </w:r>
      <w:r/>
    </w:p>
    <w:p>
      <w:pPr>
        <w:pStyle w:val="844"/>
        <w:pBdr/>
        <w:spacing/>
        <w:ind/>
        <w:jc w:val="both"/>
        <w:rPr/>
      </w:pPr>
      <w:r>
        <w:t xml:space="preserve">3. проведение экспертизы промышленной безопасности газопровода НД протяженностью 144 м, газопровода ВД протяженностью 44 м, ГРУ № 1 и № 2, ДКВР 4/13 № 1 и № 2;</w:t>
      </w:r>
      <w:r/>
    </w:p>
    <w:p>
      <w:pPr>
        <w:pStyle w:val="844"/>
        <w:pBdr/>
        <w:spacing/>
        <w:ind/>
        <w:jc w:val="both"/>
        <w:rPr/>
      </w:pPr>
      <w:r>
        <w:t xml:space="preserve">4. ввод в эксплуатацию грузового подъемника в переходной галерее между главным корпусом и складом готовой продукции.</w:t>
      </w:r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center"/>
        <w:rPr>
          <w:b/>
        </w:rPr>
      </w:pPr>
      <w:r>
        <w:rPr>
          <w:b/>
        </w:rPr>
        <w:t xml:space="preserve">4. Информация об объемах использованных Обществом в отчетном году видах энергетических ресурсов</w:t>
      </w:r>
      <w:r>
        <w:rPr>
          <w:b/>
        </w:rPr>
      </w:r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 w:firstLine="567"/>
        <w:jc w:val="both"/>
        <w:rPr/>
      </w:pPr>
      <w:r>
        <w:t xml:space="preserve">В 2024 году количество использованных Обществом энергетических ресурсов составило:</w:t>
      </w:r>
      <w:r/>
    </w:p>
    <w:p>
      <w:pPr>
        <w:pStyle w:val="844"/>
        <w:numPr>
          <w:ilvl w:val="0"/>
          <w:numId w:val="2"/>
        </w:numPr>
        <w:pBdr/>
        <w:spacing/>
        <w:ind w:hanging="284" w:left="284"/>
        <w:jc w:val="both"/>
        <w:rPr/>
      </w:pPr>
      <w:r>
        <w:t xml:space="preserve">электрической энергии – 1.360,766 тыс. кВт, на сумму 13.725.980,99 рублей (в том числе НДС 20 %);</w:t>
      </w:r>
      <w:r/>
    </w:p>
    <w:p>
      <w:pPr>
        <w:pStyle w:val="844"/>
        <w:numPr>
          <w:ilvl w:val="0"/>
          <w:numId w:val="2"/>
        </w:numPr>
        <w:pBdr/>
        <w:spacing/>
        <w:ind w:hanging="284" w:left="284"/>
        <w:jc w:val="both"/>
        <w:rPr/>
      </w:pPr>
      <w:r>
        <w:t xml:space="preserve">бензина автомобильного – 3,400 тыс. л, на сумму 174.684,28 рублей (в том числе НДС 20 %);</w:t>
      </w:r>
      <w:r/>
    </w:p>
    <w:p>
      <w:pPr>
        <w:pStyle w:val="844"/>
        <w:numPr>
          <w:ilvl w:val="0"/>
          <w:numId w:val="2"/>
        </w:numPr>
        <w:pBdr/>
        <w:spacing/>
        <w:ind w:hanging="284" w:left="284"/>
        <w:jc w:val="both"/>
        <w:rPr/>
      </w:pPr>
      <w:r>
        <w:t xml:space="preserve">топлива дизельного – 8,523 тыс. л, на сумму 509.440,41 рубль (в том числе НДС 20 %);</w:t>
      </w:r>
      <w:r/>
    </w:p>
    <w:p>
      <w:pPr>
        <w:pStyle w:val="844"/>
        <w:numPr>
          <w:ilvl w:val="0"/>
          <w:numId w:val="2"/>
        </w:numPr>
        <w:pBdr/>
        <w:spacing/>
        <w:ind w:hanging="284" w:left="284"/>
        <w:jc w:val="both"/>
        <w:rPr/>
      </w:pPr>
      <w:r>
        <w:t xml:space="preserve">газа естественного (природного) – 987,450 тыс. м</w:t>
      </w:r>
      <w:r>
        <w:rPr>
          <w:vertAlign w:val="superscript"/>
        </w:rPr>
        <w:t xml:space="preserve">3</w:t>
      </w:r>
      <w:r>
        <w:t xml:space="preserve">, на сумму 8.732.379,62 рубля (в том числе НДС 20 %).</w:t>
      </w:r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center"/>
        <w:rPr>
          <w:b/>
        </w:rPr>
      </w:pPr>
      <w:r>
        <w:rPr>
          <w:b/>
        </w:rPr>
        <w:t xml:space="preserve">5. Перспективы развития Общества</w:t>
      </w:r>
      <w:r>
        <w:rPr>
          <w:b/>
        </w:rPr>
      </w:r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 w:firstLine="567"/>
        <w:jc w:val="both"/>
        <w:rPr/>
      </w:pPr>
      <w:r>
        <w:t xml:space="preserve">В перспективе развитие Открыт</w:t>
      </w:r>
      <w:r>
        <w:t xml:space="preserve">ого акционерного общества «Йошкар-Олинская кондитерская фабрика» связано с расширением рынков сбыта продукции локального ассортимента, дальнейшего развития программы производства кондитерских изделий по лицензионным договорам и расширения ассортимента за с</w:t>
      </w:r>
      <w:r>
        <w:t xml:space="preserve">чет новых вкусов. Планируется снижение себестоимости продукции за счет рационального использования сырья, перевыполнения норм выработки, экономии топливно-энергетических ресурсов, минимизации общепроизводственных, общехозяйственных и коммерческих расходов.</w:t>
      </w:r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rPr/>
      </w:pPr>
      <w:r/>
      <w:r/>
    </w:p>
    <w:p>
      <w:pPr>
        <w:pStyle w:val="844"/>
        <w:pBdr/>
        <w:spacing/>
        <w:ind/>
        <w:jc w:val="center"/>
        <w:rPr>
          <w:b/>
        </w:rPr>
      </w:pPr>
      <w:r>
        <w:rPr>
          <w:b/>
        </w:rPr>
        <w:t xml:space="preserve">6. Отчет о выплате объявленных (начисленных) дивидендов по акциям Общества</w:t>
      </w:r>
      <w:r>
        <w:rPr>
          <w:b/>
        </w:rPr>
      </w:r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 w:firstLine="567"/>
        <w:jc w:val="both"/>
        <w:rPr/>
      </w:pPr>
      <w:r>
        <w:t xml:space="preserve">На существующем этапе развития основной деятельности дивидендная политика Открытого акционерного общ</w:t>
      </w:r>
      <w:r>
        <w:t xml:space="preserve">ества «Йошкар-Олинская кондитерская фабрика» предусматривает, что вся прибыль остается в распоряжении Общества в качестве нераспределенной прибыли прошлых лет, однако в среднесрочной перспективе не исключено, что акционеры пересмотрят дивидендную политику.</w:t>
      </w:r>
      <w:r/>
    </w:p>
    <w:p>
      <w:pPr>
        <w:pStyle w:val="844"/>
        <w:pBdr/>
        <w:spacing/>
        <w:ind w:firstLine="567"/>
        <w:jc w:val="both"/>
        <w:rPr>
          <w:color w:val="000000"/>
        </w:rPr>
      </w:pPr>
      <w:r>
        <w:t xml:space="preserve">В отчетном периоде дивиденды Обществом не начислялись и не </w:t>
      </w:r>
      <w:r>
        <w:rPr>
          <w:color w:val="000000"/>
        </w:rPr>
        <w:t xml:space="preserve">выплачивались.</w:t>
      </w:r>
      <w:r>
        <w:rPr>
          <w:color w:val="000000"/>
        </w:rPr>
      </w:r>
    </w:p>
    <w:p>
      <w:pPr>
        <w:pStyle w:val="844"/>
        <w:pBdr/>
        <w:spacing/>
        <w:ind/>
        <w:rPr/>
      </w:pPr>
      <w:r/>
      <w:r/>
    </w:p>
    <w:p>
      <w:pPr>
        <w:pStyle w:val="844"/>
        <w:pBdr/>
        <w:spacing/>
        <w:ind/>
        <w:rPr/>
      </w:pPr>
      <w:r/>
      <w:r/>
    </w:p>
    <w:p>
      <w:pPr>
        <w:pStyle w:val="844"/>
        <w:pBdr/>
        <w:spacing/>
        <w:ind/>
        <w:jc w:val="center"/>
        <w:rPr>
          <w:b/>
        </w:rPr>
      </w:pPr>
      <w:r>
        <w:rPr>
          <w:b/>
        </w:rPr>
        <w:t xml:space="preserve">7. Описание основных факторов риска, связанных с деятельностью Общества</w:t>
      </w:r>
      <w:r>
        <w:rPr>
          <w:b/>
        </w:rPr>
      </w:r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 w:firstLine="567"/>
        <w:jc w:val="both"/>
        <w:rPr/>
      </w:pPr>
      <w:r>
        <w:t xml:space="preserve">Основными факторами риска для Открытого акционерного общества «Йошкар-Олинская кондитерская фабрика» являются отраслевые, экономические, финансовые и правовые риски.</w:t>
      </w:r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>
        <w:rPr>
          <w:b/>
          <w:bCs/>
          <w:lang w:val="en-US"/>
        </w:rPr>
        <w:t xml:space="preserve">I</w:t>
      </w:r>
      <w:r>
        <w:rPr>
          <w:b/>
          <w:bCs/>
        </w:rPr>
        <w:t xml:space="preserve">. Отраслевые риски</w:t>
      </w:r>
      <w:r>
        <w:rPr>
          <w:bCs/>
        </w:rPr>
        <w:t xml:space="preserve"> </w:t>
      </w:r>
      <w:r>
        <w:t xml:space="preserve">можно разделить на две группы:</w:t>
      </w:r>
      <w:r/>
    </w:p>
    <w:p>
      <w:pPr>
        <w:pStyle w:val="844"/>
        <w:pBdr/>
        <w:spacing/>
        <w:ind w:firstLine="567"/>
        <w:jc w:val="both"/>
        <w:rPr/>
      </w:pPr>
      <w:r>
        <w:t xml:space="preserve">1. Риски, связанные с рынками сырья, закупаемого Обществом.</w:t>
      </w:r>
      <w:r/>
    </w:p>
    <w:p>
      <w:pPr>
        <w:pStyle w:val="844"/>
        <w:pBdr/>
        <w:spacing/>
        <w:ind w:firstLine="567"/>
        <w:jc w:val="both"/>
        <w:rPr/>
      </w:pPr>
      <w:r>
        <w:t xml:space="preserve">Риски,</w:t>
      </w:r>
      <w:r>
        <w:t xml:space="preserve"> связанные с ценами на сырьё, закупаемое Обществом – это изменение цен на сахар, муку, сгущенное молоко, патоку. Остальные виды сырья и упаковка не составляют существенной доли в себестоимости продукции и оказывают на нее меньшее влияние. Кроме того, на фо</w:t>
      </w:r>
      <w:r>
        <w:t xml:space="preserve">рмирование прибыли Открытого акционерного общества «Йошкар-Олинская кондитерская фабрика» влияют цены на продукцию естественных монополий (энергоносители), но их доля в себестоимости не так велика, чтобы существенно влиять на конечный финансовый результат.</w:t>
      </w:r>
      <w:r/>
    </w:p>
    <w:p>
      <w:pPr>
        <w:pStyle w:val="844"/>
        <w:pBdr/>
        <w:spacing/>
        <w:ind w:firstLine="567"/>
        <w:jc w:val="both"/>
        <w:rPr/>
      </w:pPr>
      <w:r>
        <w:t xml:space="preserve">2. Риски кондитерской отрасли.</w:t>
      </w:r>
      <w:r/>
    </w:p>
    <w:p>
      <w:pPr>
        <w:pStyle w:val="844"/>
        <w:pBdr/>
        <w:spacing/>
        <w:ind w:firstLine="567"/>
        <w:jc w:val="both"/>
        <w:rPr/>
      </w:pPr>
      <w:r>
        <w:t xml:space="preserve">Риски кондитерской отрасли – это сезонность спроса.</w:t>
      </w:r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>
          <w:b/>
        </w:rPr>
      </w:pPr>
      <w:r>
        <w:rPr>
          <w:b/>
          <w:lang w:val="en-US"/>
        </w:rPr>
        <w:t xml:space="preserve">II</w:t>
      </w:r>
      <w:r>
        <w:rPr>
          <w:b/>
        </w:rPr>
        <w:t xml:space="preserve">. Экономические риски</w:t>
      </w:r>
      <w:r>
        <w:rPr>
          <w:b/>
        </w:rPr>
      </w:r>
    </w:p>
    <w:p>
      <w:pPr>
        <w:pStyle w:val="844"/>
        <w:pBdr/>
        <w:spacing/>
        <w:ind w:firstLine="567"/>
        <w:jc w:val="both"/>
        <w:rPr/>
      </w:pPr>
      <w:r>
        <w:t xml:space="preserve">К экономическим факторам рисков относят факторы, связанные с общим состоянием экономики России: риски, связанные с уровнем инфляции, изменением банковских процентов, налоговых ставок, уровнем оплаты труда и т.д..</w:t>
      </w:r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>
          <w:b/>
        </w:rPr>
      </w:pPr>
      <w:r>
        <w:rPr>
          <w:b/>
          <w:lang w:val="en-US"/>
        </w:rPr>
        <w:t xml:space="preserve">III</w:t>
      </w:r>
      <w:r>
        <w:rPr>
          <w:b/>
        </w:rPr>
        <w:t xml:space="preserve">. Финансовые риски</w:t>
      </w:r>
      <w:r>
        <w:rPr>
          <w:b/>
        </w:rPr>
      </w:r>
    </w:p>
    <w:p>
      <w:pPr>
        <w:pStyle w:val="844"/>
        <w:pBdr/>
        <w:spacing/>
        <w:ind w:firstLine="567"/>
        <w:jc w:val="both"/>
        <w:rPr/>
      </w:pPr>
      <w:r>
        <w:t xml:space="preserve">Возможные финансовые риски, отражающиеся на деятельности Открытого акционерного общества «Йошкар-Олинская кондитерская фабрика», регулируются уровнем устанавливаемых Обществом цен на производимую продукцию.</w:t>
      </w:r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>
          <w:b/>
        </w:rPr>
      </w:pPr>
      <w:r>
        <w:rPr>
          <w:b/>
          <w:lang w:val="en-US"/>
        </w:rPr>
        <w:t xml:space="preserve">IV</w:t>
      </w:r>
      <w:r>
        <w:rPr>
          <w:b/>
        </w:rPr>
        <w:t xml:space="preserve">. Правовые риски</w:t>
      </w:r>
      <w:r>
        <w:rPr>
          <w:b/>
        </w:rPr>
      </w:r>
    </w:p>
    <w:p>
      <w:pPr>
        <w:pStyle w:val="844"/>
        <w:pBdr/>
        <w:spacing/>
        <w:ind w:firstLine="567"/>
        <w:jc w:val="both"/>
        <w:rPr/>
      </w:pPr>
      <w:r>
        <w:t xml:space="preserve">К возможным правовым </w:t>
      </w:r>
      <w:r>
        <w:t xml:space="preserve">рискам относятся риски связанные с изменением законодательства Российской Федерации, регулирующего финансово-хозяйственную деятельность Общества, в частности изменения: гражданского, корпоративного, трудового законодательства и законодательства о торговле.</w:t>
      </w:r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 w:firstLine="567"/>
        <w:jc w:val="both"/>
        <w:rPr/>
      </w:pPr>
      <w:r>
        <w:t xml:space="preserve">Осознавая наличие вышеперечисленных рисков, Общество предпринимает все зависящие от него усилия для минимизации потенциального влияния рисков и для снижения вероятности их реализации.</w:t>
      </w:r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center"/>
        <w:rPr>
          <w:b/>
        </w:rPr>
      </w:pPr>
      <w:r>
        <w:rPr>
          <w:b/>
        </w:rPr>
        <w:t xml:space="preserve">8. Перечень совершенных Обществом в отчетном году сделок, признаваемых в соответствии с </w:t>
      </w:r>
      <w:hyperlink r:id="rId18" w:tooltip="garantf1://10005712.72000" w:history="1">
        <w:r>
          <w:rPr>
            <w:b/>
          </w:rPr>
          <w:t xml:space="preserve">Федеральным законом</w:t>
        </w:r>
      </w:hyperlink>
      <w:r>
        <w:rPr>
          <w:b/>
        </w:rPr>
        <w:t xml:space="preserve"> «Об акционерных обществах» крупными сделками</w:t>
      </w:r>
      <w:r>
        <w:rPr>
          <w:b/>
        </w:rPr>
      </w:r>
    </w:p>
    <w:p>
      <w:pPr>
        <w:pStyle w:val="844"/>
        <w:pBdr/>
        <w:spacing/>
        <w:ind/>
        <w:rPr/>
      </w:pPr>
      <w:r/>
      <w:r/>
    </w:p>
    <w:p>
      <w:pPr>
        <w:pStyle w:val="844"/>
        <w:pBdr/>
        <w:spacing/>
        <w:ind w:firstLine="567"/>
        <w:jc w:val="both"/>
        <w:rPr/>
      </w:pPr>
      <w:r>
        <w:t xml:space="preserve">В 2024 году сделки, признаваемые в соответствии с Федеральным законом «Об акционерных обществах» крупными сделками, Обществом не совершались.</w:t>
      </w:r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center"/>
        <w:rPr>
          <w:b/>
        </w:rPr>
      </w:pPr>
      <w:r>
        <w:rPr>
          <w:b/>
        </w:rPr>
        <w:t xml:space="preserve">9. Перечень совершенных Обществом в отчетном году сделок, признаваемых в соответствии с Федеральным законом «Об акционерных обществах» сделками, в совершении которых имелась заинтересованность</w:t>
      </w:r>
      <w:r>
        <w:rPr>
          <w:b/>
        </w:rPr>
      </w:r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 w:firstLine="567"/>
        <w:jc w:val="both"/>
        <w:rPr/>
      </w:pPr>
      <w:r>
        <w:t xml:space="preserve">В 2024 году Обществом были совершены следующие сделки, признаваемые в соответствии с Федеральным законом «Об акционерных обществах» сделками, в совершении которых имелась заинтересованность:</w:t>
      </w:r>
      <w:r/>
    </w:p>
    <w:tbl>
      <w:tblPr>
        <w:tblW w:w="15026" w:type="dxa"/>
        <w:tblInd w:w="-34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95"/>
        <w:gridCol w:w="1701"/>
        <w:gridCol w:w="1982"/>
        <w:gridCol w:w="2269"/>
        <w:gridCol w:w="2410"/>
        <w:gridCol w:w="1985"/>
        <w:gridCol w:w="1983"/>
      </w:tblGrid>
      <w:tr>
        <w:trPr>
          <w:trHeight w:val="1201"/>
        </w:trPr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269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Лицо (лица), являющееся стороной (сторонами) сделки, выгодоприобретателем (выгодоприобретателями) по ней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Цена сделки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Предмет сделки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Иные существенные условия сделки или порядок их определения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Лицо (лица), имеющее заинтересованность в совершении сделки, а также основания, по которым лицо (каждое из лиц), имеющее заинтересованность в совершении сделки, является таковым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Доля участия заинтересованного лица (заинтересованных лиц) в уставном капитале Общества на дату совершения сделки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98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Орган управления Общества, принявший решение об одобрении сделки</w:t>
            </w: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50"/>
        </w:trPr>
        <w:tc>
          <w:tcPr>
            <w:gridSpan w:val="7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50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1. НАИМЕНОВАНИЕ СДЕЛКИ:</w:t>
            </w:r>
            <w:r>
              <w:t xml:space="preserve"> Договор поставки</w:t>
            </w: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84"/>
        </w:trPr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restart"/>
            <w:textDirection w:val="lrTb"/>
            <w:noWrap w:val="false"/>
          </w:tcPr>
          <w:p>
            <w:pPr>
              <w:pStyle w:val="759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</w:rPr>
              <w:t xml:space="preserve">Открытое акционерное общество «РОТ ФРОНТ» (Поставщик); Открытое акционерное общество «Йошкар-Олинская кондитерская фабрика» (Покупатель</w:t>
            </w:r>
            <w:r>
              <w:rPr>
                <w:color w:val="000000"/>
                <w:sz w:val="20"/>
                <w:szCs w:val="20"/>
              </w:rPr>
              <w:t xml:space="preserve">)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759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</w:rPr>
              <w:t xml:space="preserve">Цена на продукцию определяется в спецификациях к догов</w:t>
            </w:r>
            <w:r>
              <w:rPr>
                <w:color w:val="000000"/>
                <w:sz w:val="20"/>
              </w:rPr>
              <w:t xml:space="preserve">ору, утвержденных в двухстороннем порядке. Цена на продукцию является твердой и может быть изменена лишь по взаимному согласию сторон. Цена в спецификациях указывается без НДС. Общая сумма договора не должна превышать 43.000.000 (сорок три миллиона) рублей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restart"/>
            <w:textDirection w:val="lrTb"/>
            <w:noWrap w:val="false"/>
          </w:tcPr>
          <w:p>
            <w:pPr>
              <w:pStyle w:val="759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</w:rPr>
              <w:t xml:space="preserve">Поставщик обязуется поставить какао-масло, какао т</w:t>
            </w:r>
            <w:r>
              <w:rPr>
                <w:color w:val="000000"/>
                <w:sz w:val="20"/>
              </w:rPr>
              <w:t xml:space="preserve">ертое, какао-порошок, кондитерскую и шоколадную глазури (далее – продукция), а Покупатель обязуется принять и оплатить их в порядке и на условиях, определенных в договоре, а также в спецификациях к нему. Спецификации являются неотъемлемыми частями договора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Продукция отгружается партиями согласно акцептованным заказам Покупателя. Количество каждой конкретной партии продукции определяется исходя из транспортной единицы отгрузки, согласованной сторона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ми. Передача продукции осуществляется путем доставки транспортными средствами и за счет Покупателя на склад грузополучателя. Грузополучателем по договору является Покупатель или иное лицо, указанное Покупателем в заявке. Платежи за поставляемую по договору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 продукцию осуществляются путем перечисления денежных средств на расчетный счет Поставщика в течение 15 рабочих дней с даты поставки продукции. Договор вступает в силу с даты его подписания и действует в течение одного года с даты подписания с правом проло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нгации. В случае если ни одна сторона не заявит другой стороне о прекращении действия договора не позднее, чем за 15 календарных дней до даты истечения срока договора, то договор считается продленным на каждый последующий календарный год на тех же условиях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АО «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Холдинговая компания «Объединенные кондитеры» – контролирующее лицо, имеющее право прямо распоряжаться более 50 % голосов в высшем органе управления ОАО «ЙКФ» и имеющее право прямо распоряжаться более 50 % голосов в высшем органе управления ОАО «РОТ ФРОНТ»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96,417692 %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Сделка не одобрялась в связи с отсутствием (не поступлением) требований об ее одобрении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ООО «Объединенные кондитеры» – единоличный исполнительный орган ОАО «ЙКФ» и единоличный исполнительный орган ОАО «РОТ ФРОНТ»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Харин Алексей Анатольевич – член Совета директоров ОАО «ЙКФ», занимает должность в органах управления управляющей организации ОАО «РОТ ФРОНТ», занимает должность в органах управления ОАО «РОТ ФРОНТ»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Петров Александр Юрьевич – член Совета директоров ОАО «ЙКФ», занимает должность в органах управления управляющей организации ОАО «РОТ ФРОНТ», занимает должность в органах управления ОАО «РОТ ФРОНТ»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1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Ирин Георгий Александрович – член Совета директоров ОАО «ЙКФ», занимает должность в органах управления управляющей организации ОАО «РОТ ФРОНТ»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Петров Алексей Юрьевич – член Совета директоров ОАО «ЙКФ», занимает должность в органах управления управляющей организации ОАО «РОТ ФРОНТ»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127"/>
        </w:trPr>
        <w:tc>
          <w:tcPr>
            <w:gridSpan w:val="7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50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rPr>
                <w:b/>
              </w:rPr>
              <w:t xml:space="preserve">2. НАИМЕНОВАНИЕ СДЕЛКИ:</w:t>
            </w:r>
            <w:r>
              <w:t xml:space="preserve"> Договор поставки</w:t>
            </w:r>
            <w:r/>
          </w:p>
        </w:tc>
      </w:tr>
      <w:tr>
        <w:trPr>
          <w:trHeight w:val="166"/>
        </w:trPr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Открытое акционерное общество «РОТ ФРОНТ» (Поставщик); Открытое акционерное общество «Йошкар-Олинская кондитерская фабрика» (Покупатель)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Цена на продукцию определяется в спецификациях к договору, утвержденных в двухстороннем порядке. Цена на продукцию является твердой и может быть изменена лишь по взаимному сог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ласию сторон. Цена в спецификациях указывается без НДС. Общая сумма договора определяется путем суммирования стоимости продукции, отгруженной и оплаченной по каждой товарно-транспортной накладной и не должна превышать 20.000.000 (двадцать миллионов) рублей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Поставщик обязуется поставить кондитерские изделия (далее – продукция), а Покупатель обязуется принять и оплатить их в порядке и на условиях, определенных в договоре, а также в спецификациях к нему. Спецификации являются неотъемлемыми частями договора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Продукция отгружается партиями согласно акцептованным заказам Покупателя. Количество каждой конкретной партии продукции определяется исходя из транспортной единицы отгрузки, согласованной стор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онами. Передача продукции осуществляется путем доставки транспортными средствами и за счет Покупателя на склад грузополучателя. Грузополучателем по договору является Покупатель или иное лицо, указанное Покупателем в заявке. Платежи за поставляемую по догов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ору продукцию осуществляются путем перечисления денежных средств на расчетный счет Поставщика в течение 15 рабочих дней с даты поставки продукции. Договор вступает в силу с даты его подписания и действует в течение одного года с даты подписания с правом пр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олонгации. В случае если ни одна сторона не заявит другой стороне о прекращении действия договора не позднее, чем за 15 календарных дней до даты истечения срока договора, договор считается продленным на каждый последующий календарный год на тех же условиях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АО «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Холдинговая компания «Объединенные кондитеры» – контролирующее лицо, имеющее право прямо распоряжаться более 50 % голосов в высшем органе управления ОАО «ЙКФ» и имеющее право прямо распоряжаться более 50 % голосов в высшем органе управления ОАО «РОТ ФРОНТ»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96,417692 %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Сделка не одобрялась в связи с отсутствием (не поступлением) требований об ее одобрении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ООО «Объединенные кондитеры» – единоличный исполнительный орган ОАО «ЙКФ» и единоличный исполнительный орган ОАО «РОТ ФРОНТ»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Харин Алексей Анатольевич – член Совета директоров ОАО «ЙКФ», занимает должность в органах управления управляющей организации ОАО «РОТ ФРОНТ», занимает должность в органах управления ОАО «РОТ ФРОНТ»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1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Петров Александр Юрьевич – член Совета директоров ОАО «ЙКФ», занимает должность в органах управления управляющей организации ОАО «РОТ ФРОНТ», занимает должность в органах управления ОАО «РОТ ФРОНТ»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Ирин Георгий Александрович – член Совета директоров ОАО «ЙКФ», занимает должность в органах управления управляющей организации ОАО «РОТ ФРОНТ»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1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Петров Алексей Юрьевич – член Совета директоров ОАО «ЙКФ», занимает должность в органах управления управляющей организации ОАО «РОТ ФРОНТ»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0"/>
        </w:trPr>
        <w:tc>
          <w:tcPr>
            <w:gridSpan w:val="7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50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rPr>
                <w:b/>
              </w:rPr>
              <w:t xml:space="preserve">3. НАИМЕНОВАНИЕ СДЕЛКИ:</w:t>
            </w:r>
            <w:r>
              <w:t xml:space="preserve"> Договор оказания услуг</w:t>
            </w:r>
            <w:r/>
          </w:p>
        </w:tc>
      </w:tr>
      <w:tr>
        <w:trPr>
          <w:trHeight w:val="50"/>
        </w:trPr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Открытое акционерное общество «Кондитерский концерн Бабаевский» (Исполнитель); Открытое акционерное общество «Йошкар-Олинская кондитерская фабрика» (Заказчик)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Стоимость работ определяется в соответствии с утвержденным прейскурантом за фактически выполненный объем работ и указывается в протоколе согласования договорной цены. Протокол согласования договорной цены, после ег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о подписания, становится неотъемлемой частью договора. На каждую заявку, поданную в период действия договора, составляется отдельный протокол согласования договорной цены. Общая сумма договора не может превышать 2.000.000 (два миллиона) рублей, включая НДС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Заказчик поручает, а Исполнитель принимает на себя обязательства по п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роведению работ по исследованиям (испытаниям) и измерения (далее – работы) с целью оценки соответствия представленных Заказчиком проб (образцов) продукции утвержденным требованиям к качеству сырья ООО «Объединенные кондитеры» и (или) Заказчика, действующим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 законодательным актам и нормативным требованиям к качеству и безопасности, установленным для данного вида пищевой продукции Российской Федерации, ЕврАзЭС, Техническим регламентам Таможенного союза, а также нормативно-технической документацией изготовителя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Работы по договору выполняются Исполнителем на основании заявок Заказчика, которые являются неотъемлемой частью д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оговора. Содержание и срок проведения работ по договору определяются по согласованию сторон для каждого вида работ и отражаются в заявках Заказчика. Оплата осуществляется на основании счетов, выставленных Исполнителем, авансовым платежом в размере 100 % ст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оимости работ безналичным расчетом путем перечисления денежных средств на расчетный счет Исполнителя. Договор вступает в силу с даты его подписания сторонами и действует один год. Договор считается автоматически продленным на следующий год, если ни одна из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 сторон письменно за один месяц до окончания срока действия договора не уведомила другую сторону о намерении расторгнуть договор или изменить условия договора. Автоматическое продление срока действия договора может происходить неограниченное количество раз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АО «Холдинговая компания «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Объединенные кондитеры» – контролирующее лицо, имеющее право прямо распоряжаться более 50 % голосов в высшем органе управления ОАО «ЙКФ» и имеющее право прямо распоряжаться более 50 % голосов в высшем органе управления ОАО «Кондитерский концерн Бабаевский»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96,417692 %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Сделка не одобрялась в связи с отсутствием (не поступлением) требований об ее одобрении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ООО «Объединенные кондитеры» – единоличный исполнительный орган ОАО «ЙКФ» и единоличный исполнительный орган ОАО «Кондитерский концерн Бабаевский»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Харин Алексей Анатольевич – член Совета директоров ОАО «ЙКФ», занимает должность в органах управления управляющей организации ОАО «Кондитерский концерн Бабаевский», занимает должность в органах управления ОАО «Кондитерский концерн Бабаевский»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Петров Александр Юрьевич – член Совета директоров ОАО «ЙКФ», занимает должность в органах управления управляющей организации ОАО «Кондитерский концерн Бабаевский», занимает должность в органах управления ОАО «Кондитерский концерн Бабаевский»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Петров Алексей Юрьевич – член Совета директоров ОАО «ЙКФ», занимает должность в органах управления управляющей организации ОАО «Кондитерский концерн Бабаевский», занимает должность в органах управления ОАО «Кондитерский концерн Бабаевский»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Ирин Георгий Александрович – член Совета директоров ОАО «ЙКФ», занимает должность в органах управления управляющей организации ОАО «Кондитерский концерн Бабаевский»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0"/>
        </w:trPr>
        <w:tc>
          <w:tcPr>
            <w:gridSpan w:val="7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50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rPr>
                <w:b/>
              </w:rPr>
              <w:t xml:space="preserve">4. НАИМЕНОВАНИЕ СДЕЛКИ:</w:t>
            </w:r>
            <w:r>
              <w:t xml:space="preserve"> Договор аренды</w:t>
            </w:r>
            <w:r/>
          </w:p>
        </w:tc>
      </w:tr>
      <w:tr>
        <w:trPr>
          <w:trHeight w:val="50"/>
        </w:trPr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Открытое акционерное общество «РОТ ФРОНТ» (Арендодатель); Открытое акционерное общество «Йошкар-Олинская кондитерская фабрика» (Арендатор)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Размер арендной платы за 1 (один) год 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и за 1 (один) месяц указан в приложениях (спецификациях) и рассчитывается по ставке установленной ст. 164 НК РФ. При неполном месяце аренды арендная плата начисляется и уплачивается за фактическое время аренды пропорционально общей продолжительности месяца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Предметом договора является предоставление Арендодателем Арендатору за обусловленную плату во временное владение и пользование бывше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е в употреблении производственное оборудование, которое будет использовано последним в своих производственных целях и целях получения коммерческих результатов в соответствии с конструктивными и эксплуатационными данными оборудования, передаваемого в аренду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Объектом аренды по договору является производственное оборудование, указанное в приложениях (спецификациях), являющихся неотъемлемыми част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ями договора. Продукция и доходы, полученные Арендатором в результате использования им оборудования, полученного в аренду в соответствии с условиями договора, являются собственностью Арендатора. По окончании срока аренды при условии выполнения всех обязате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льств по договору Арендатор имеет право выкупить оборудование на условиях, предусмотренных договором. Арендная плата исчисляется с даты приемки Арендатором от Арендодателя оборудования по акту приема-передачи. Арендатор вносит арендную плату один раз в мес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яц не позднее 25 (двадцать пятого) числа месяца, следующего за месяцем аренды. Настоящий договор вступает в законную силу со дня подписания его сторонами. Срок аренды составляет 10 (десять) лет с даты подписания акта приемки-передачи по каждой спецификации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АО «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Холдинговая компания «Объединенные кондитеры» – контролирующее лицо, имеющее право прямо распоряжаться более 50 % голосов в высшем органе управления ОАО «ЙКФ» и имеющее право прямо распоряжаться более 50 % голосов в высшем органе управления ОАО «РОТ ФРОНТ»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96,417692 %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Сделка не одобрялась в связи с отсутствием (не поступлением) требований об ее одобрении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1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ООО «Объединенные кондитеры» – единоличный исполнительный орган ОАО «ЙКФ» и единоличный исполнительный орган ОАО «РОТ ФРОНТ»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759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Харин Алексей Анатольевич – член Совета директоров ОАО «ЙКФ», занимает должность в органах управления управляющей организации ОАО «РОТ ФРОНТ», занимает должность в органах управления ОАО «РОТ ФРОНТ»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Петров Александр Юрьевич – член Совета директоров ОАО «ЙКФ», занимает должность в органах управления управляющей организации ОАО «РОТ ФРОНТ», занимает должность в органах управления ОАО «РОТ ФРОНТ»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Ирин Георгий Александрович – член Совета директоров ОАО «ЙКФ», занимает должность в органах управления управляющей организации ОАО «РОТ ФРОНТ»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1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Петров Алексей Юрьевич – член Совета директоров ОАО «ЙКФ», занимает должность в органах управления управляющей организации ОАО «РОТ ФРОНТ»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0"/>
        </w:trPr>
        <w:tc>
          <w:tcPr>
            <w:gridSpan w:val="7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50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rPr>
                <w:b/>
              </w:rPr>
              <w:t xml:space="preserve">5. НАИМЕНОВАНИЕ СДЕЛКИ:</w:t>
            </w:r>
            <w:r>
              <w:t xml:space="preserve"> Договор поставки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Открытое акционерное общество «Южуралкондитер» (Поставщик); Открытое акционерное общество «Йошкар-Олинская кондитерская фабрика» (Покупатель)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Цена на продукцию определяется в спецификациях к договору, утвержденных в двухстороннем порядке. Цена на продукцию является твердой и может быть изменена лишь по взаимному согласию 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сторон. Цена в спецификациях указывается без НДС. Общая сумма договора определяется путем суммирования стоимости продукции, отгруженной и оплаченной по каждой товарно-транспортной накладной и не должна превышать 26.000.000 (двадцать шесть миллионов) рублей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Поставщик обязуется поставить кондитерские изделия (далее – продукция), а Покупатель обязуется принять и оплатить их в порядке и на условиях, определенных в договоре, а также в спецификациях к нему. Спецификации являются неотъемлемыми частями договора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Продукция отгружается партиями согласно акцептованным заказам Покупателя. Количество каждой конкретной партии продукции определяется исходя из транспортной единицы отгрузки, согласованной стор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онами. Передача продукции осуществляется путем доставки транспортными средствами и за счет Поставщика на склад грузополучателя. Грузополучателем по договору является Покупатель или иное лицо, указанное Покупателем в заявке. Платежи за поставляемую по догов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ору продукцию осуществляются путем перечисления денежных средств на расчетный счет Поставщика в течение 15 рабочих дней с даты поставки продукции. Договор вступает в силу с даты его подписания и действует в течение одного года с даты заключения с правом пр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олонгации. В случае если ни одна сторона не заявит другой стороне о прекращении действия договора не позднее, чем за 15 календарных дней до даты истечения срока договора, договор считается продленным на каждый последующий календарный год на тех же условиях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АО «Холди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нговая компания «Объединенные кондитеры» – контролирующее лицо, имеющее право прямо распоряжаться более 50 % голосов в высшем органе управления ОАО «ЙКФ» и имеющее право прямо распоряжаться более 50 % голосов в высшем органе управления ОАО «Южуралкондитер»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96,417692 %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Сделка не одобрялась в связи с отсутствием (не поступлением) требований об ее одобрении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ООО «Объединенные кондитеры» – единоличный исполнительный орган ОАО «ЙКФ» и единоличный исполнительный орган ОАО «Южуралкондитер»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Харин Алексей Анатольевич – член Совета директоров ОАО «ЙКФ», занимает должность в органах управления управляющей организации ОАО «Южуралкондитер», занимает должность в органах управления ОАО «Южуралкондитер»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Петров Александр Юрьевич – член Совета директоров ОАО «ЙКФ», занимает должность в органах управления управляющей организации ОАО «Южуралкондитер», занимает должность в органах управления ОАО «Южуралкондитер»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Петров Алексей Юрьевич – член Совета директоров ОАО «ЙКФ», занимает должность в органах управления управляющей организации ОАО «Южуралкондитер», занимает должность в органах управления ОАО «Южуралкондитер»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1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Ирин Георгий Александрович – член Совета директоров ОАО «ЙКФ», занимает должность в органах управления управляющей организации ОАО «Южуралкондитер»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1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Бутко Кирилл Викторович – член Совета директоров ОАО «ЙКФ», занимает должность в органах управления ОАО «Южуралкондитер»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0"/>
        </w:trPr>
        <w:tc>
          <w:tcPr>
            <w:gridSpan w:val="7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50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rPr>
                <w:b/>
              </w:rPr>
              <w:t xml:space="preserve">6. НАИМЕНОВАНИЕ СДЕЛКИ:</w:t>
            </w:r>
            <w:r>
              <w:t xml:space="preserve"> Договор о передаче технических условий</w:t>
            </w:r>
            <w:r/>
          </w:p>
        </w:tc>
      </w:tr>
      <w:tr>
        <w:trPr>
          <w:trHeight w:val="67"/>
        </w:trPr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Открытое акционерное общество «Йошкар-Олинская кондитерская фабрика» (Разработчик); Публичное акционерное общество «Московская кондитерская фабрика «Красный Октябрь» (Производитель)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За пр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едоставление права на использование технических условий и предоставление иной технической документации Производитель уплачивает Разработчику вознаграждение в виде единовременного разового (паушального) платежа в размере, определенном приложением к договору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В соответствии с условиями договора Разработчик передает Производителю на срок, определенный в приложении к договору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, и за вознаграждение, уплачиваемое Производителем, технические условия, иную техническую документацию и предоставляет право на: изготовление кондитерских изделий в соответствии с требованиями технических условий; продажу изготовленных кондитерских изделий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Наименование технических условий определяется в приложении к договору. Технические условия, изменения к техническим условиям, экспертное заключение на технические условия, каталожный лист продукции передаются Разработчиком Произво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дителю в срок, определенный в приложении к договору. Оплата осуществляется в течение 15 (пятнадцати) дней с даты передачи технической документации на основании счета Разработчика. Договор вступает в силу с даты его подписания и действует до 31.12.2040 года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АО «Холдин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говая компания «Объединенные кондитеры» – контролирующее лицо, имеющее право прямо распоряжаться более 50 % голосов в высшем органе управления ОАО «ЙКФ» и имеющее право прямо распоряжаться более 50 % голосов в высшем органе управления ПАО «Красный Октябрь»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96,417692 %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Сделка не одобрялась в связи с отсутствием (не поступлением) требований об ее одобрении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ООО «Объединенные кондитеры» – единоличный исполнительный орган ОАО «ЙКФ» и единоличный исполнительный орган ПАО «Красный Октябрь»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Харин Алексей Анатольевич – член Совета директоров ОАО «ЙКФ», занимает должность в органах управления управляющей организации ПАО «Красный Октябрь», занимает должность в органах управления ПАО «Красный Октябрь»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Ирин Георгий Александрович – член Совета директоров ОАО «ЙКФ», занимает должность в органах управления управляющей организации ПАО «Красный Октябрь», занимает должность в органах управления ПАО «Красный Октябрь»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Петров Александр Юрьевич – член Совета директоров ОАО «ЙКФ», занимает должность в органах управления управляющей организации ПАО «Красный Октябрь», занимает должность в органах управления ПАО «Красный Октябрь»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Петров Алексей Юрьевич – член Совета директоров ОАО «ЙКФ», занимает должность в органах управления управляющей организации ПАО «Красный Октябрь»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50"/>
        </w:trPr>
        <w:tc>
          <w:tcPr>
            <w:gridSpan w:val="7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502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both"/>
              <w:rPr/>
            </w:pPr>
            <w:r>
              <w:rPr>
                <w:b/>
              </w:rPr>
              <w:t xml:space="preserve">7. НАИМЕНОВАНИЕ СДЕЛКИ:</w:t>
            </w:r>
            <w:r>
              <w:t xml:space="preserve"> Договор о предоставлении права использования товарного знака</w:t>
            </w:r>
            <w:r/>
          </w:p>
        </w:tc>
      </w:tr>
      <w:tr>
        <w:trPr>
          <w:trHeight w:val="50"/>
        </w:trPr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Открытое акционерное общество «РОТ ФРОНТ» (Лицензиар); Открытое акционерное общество «Йошкар-Олинская кондитерская фабрика» (Лицензиат)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Размер вознаграждения пр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и использовании товарного знака Лицензиатом составляет 1 % (один процент), в том числе НДС по ставке, установленной ст. 164 НК РФ, от стоимости реализованной Лицензиатом продукции по ценам, определенным условиями договоров поставки, заключенных Лицензиатом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Лицензиар на условиях, указанных в договоре, предоставляет Лицензиату право использования товарного знака «ЛИМОНЧИКИ» по свидетельству № 732411 в отношении товаров 30 класса МКТУ, указанных в свидетельстве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Договор заключен на срок действия исключительно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го права на товарный знак. Лицензиату предоставляется право на использование товарного знака на всей территории РФ. Выплата вознаграждения производится Лицензиатом ежеквартально, в срок до 25 (двадцать пятого) числа месяца, следующего за отчетным кварталом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АО «</w:t>
            </w:r>
            <w:r>
              <w:rPr>
                <w:rFonts w:eastAsia="Cambria"/>
                <w:sz w:val="20"/>
                <w:szCs w:val="20"/>
                <w:lang w:eastAsia="en-US"/>
              </w:rPr>
              <w:t xml:space="preserve">Холдинговая компания «Объединенные кондитеры» – контролирующее лицо, имеющее право прямо распоряжаться более 50 % голосов в высшем органе управления ОАО «ЙКФ» и имеющее право прямо распоряжаться более 50 % голосов в высшем органе управления ОАО «РОТ ФРОНТ»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96,417692 %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Сделка не одобрялась в связи с отсутствием (не поступлением) требований об ее одобрении</w:t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ООО «Объединенные кондитеры» – единоличный исполнительный орган ОАО «ЙКФ» и единоличный исполнительный орган ОАО «РОТ ФРОНТ»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Харин Алексей Анатольевич – член Совета директоров ОАО «ЙКФ», занимает должность в органах управления управляющей организации ОАО «РОТ ФРОНТ», занимает должность в органах управления ОАО «РОТ ФРОНТ»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Петров Александр Юрьевич – член Совета директоров ОАО «ЙКФ», занимает должность в органах управления управляющей организации ОАО «РОТ ФРОНТ», занимает должность в органах управления ОАО «РОТ ФРОНТ»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Ирин Георгий Александрович – член Совета директоров ОАО «ЙКФ», занимает должность в органах управления управляющей организации ОАО «РОТ ФРОНТ»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rHeight w:val="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5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rFonts w:eastAsia="Cambria"/>
                <w:sz w:val="20"/>
                <w:szCs w:val="20"/>
                <w:lang w:eastAsia="en-US"/>
              </w:rPr>
              <w:t xml:space="preserve">Петров Алексей Юрьевич – член Совета директоров ОАО «ЙКФ», занимает должность в органах управления управляющей организации ОАО «РОТ ФРОНТ»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0 %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center"/>
        <w:rPr>
          <w:b/>
        </w:rPr>
      </w:pPr>
      <w:r>
        <w:rPr>
          <w:b/>
        </w:rPr>
        <w:t xml:space="preserve">10. Состав Совета директоров Общества</w:t>
      </w:r>
      <w:r>
        <w:rPr>
          <w:b/>
        </w:rPr>
      </w:r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 w:firstLine="567"/>
        <w:jc w:val="both"/>
        <w:rPr/>
      </w:pPr>
      <w:r>
        <w:t xml:space="preserve">В 2023 году, в соответствии с решением годового общего собрания акционеров Общества от 20.04.2023 года, в Совет директоров Общества были избраны:</w:t>
      </w:r>
      <w:r/>
    </w:p>
    <w:tbl>
      <w:tblPr>
        <w:tblW w:w="14992" w:type="dxa"/>
        <w:tblInd w:w="0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00" w:firstRow="0" w:lastRow="0" w:firstColumn="0" w:lastColumn="0" w:noHBand="0" w:noVBand="0"/>
      </w:tblPr>
      <w:tblGrid>
        <w:gridCol w:w="647"/>
        <w:gridCol w:w="2700"/>
        <w:gridCol w:w="4982"/>
        <w:gridCol w:w="3403"/>
        <w:gridCol w:w="3260"/>
      </w:tblGrid>
      <w:tr>
        <w:trPr>
          <w:trHeight w:val="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r>
              <w:rPr>
                <w:b/>
              </w:rPr>
              <w:t xml:space="preserve">п/п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Ф.И.О. члена Совета директоров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Краткие биографические данные члена Совета директоров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Доля участия члена Совета директоров в уставном капитале Общества, % от уставного капитала Общества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Доля принадлежащих члену Совета директоров обыкновенных акций Общества, % от уставного капитала Общества</w:t>
            </w:r>
            <w:r>
              <w:rPr>
                <w:b/>
              </w:rPr>
            </w:r>
          </w:p>
        </w:tc>
      </w:tr>
      <w:tr>
        <w:trPr>
          <w:trHeight w:val="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Харин Алексей Анатольевич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Год рождения: 1961. Образование: высшее. Занимаемая должность: президент ООО «Холдинговая компания «ГУТА».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0 %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0 %</w:t>
            </w:r>
            <w:r/>
          </w:p>
        </w:tc>
      </w:tr>
      <w:tr>
        <w:trPr>
          <w:trHeight w:val="3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Бутко Кирилл Викторович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rPr>
                <w:bCs/>
              </w:rPr>
              <w:t xml:space="preserve">Год рождения: 1973. Образование: высшее. Занимаемая должность: первый заместитель первого вице-президента ООО «Холдинговая компания «ГУТА».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0 %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0 %</w:t>
            </w:r>
            <w:r/>
          </w:p>
        </w:tc>
      </w:tr>
      <w:tr>
        <w:trPr>
          <w:trHeight w:val="40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Ирин Георгий Александрович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Cs/>
              </w:rPr>
            </w:pPr>
            <w:r>
              <w:rPr>
                <w:bCs/>
              </w:rPr>
              <w:t xml:space="preserve">Год рождения: 1964. Образование: высшее. Занимаемая должность: первый заместитель руководителя администрации совета директоров ООО «Холдинговая компания «ГУТА».</w:t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0 %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0 %</w:t>
            </w:r>
            <w:r/>
          </w:p>
        </w:tc>
      </w:tr>
      <w:tr>
        <w:trPr>
          <w:trHeight w:val="70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Петров Александр Юрьевич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Cs/>
              </w:rPr>
            </w:pPr>
            <w:r>
              <w:rPr>
                <w:bCs/>
              </w:rPr>
              <w:t xml:space="preserve">Год рождения: 1964. Образование: высшее. Занимаемая должность: старший вице-президент ООО «Холдинговая компания «ГУТА».</w:t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0 %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0 %</w:t>
            </w:r>
            <w:r/>
          </w:p>
        </w:tc>
      </w:tr>
      <w:tr>
        <w:trPr>
          <w:trHeight w:val="4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Петров Алексей Юрьевич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Cs/>
              </w:rPr>
            </w:pPr>
            <w:r>
              <w:rPr>
                <w:bCs/>
              </w:rPr>
              <w:t xml:space="preserve">Год рождения: 1971. Образование: высшее. Занимаемая должность: вице-президент ООО «Холдинговая компания «ГУТА».</w:t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0 %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0 %</w:t>
            </w:r>
            <w:r/>
          </w:p>
        </w:tc>
      </w:tr>
    </w:tbl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 w:firstLine="567"/>
        <w:jc w:val="both"/>
        <w:rPr/>
      </w:pPr>
      <w:r>
        <w:t xml:space="preserve">В 2024 году, в соответствии с решением годового общего собрания акционеров Общества от 22.04.2024 года, в Совет директоров Общества были избраны:</w:t>
      </w:r>
      <w:r/>
    </w:p>
    <w:tbl>
      <w:tblPr>
        <w:tblW w:w="14992" w:type="dxa"/>
        <w:tblInd w:w="0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00" w:firstRow="0" w:lastRow="0" w:firstColumn="0" w:lastColumn="0" w:noHBand="0" w:noVBand="0"/>
      </w:tblPr>
      <w:tblGrid>
        <w:gridCol w:w="647"/>
        <w:gridCol w:w="2700"/>
        <w:gridCol w:w="4982"/>
        <w:gridCol w:w="3403"/>
        <w:gridCol w:w="3260"/>
      </w:tblGrid>
      <w:tr>
        <w:trPr>
          <w:trHeight w:val="90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r>
              <w:rPr>
                <w:b/>
              </w:rPr>
              <w:t xml:space="preserve">п/п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Ф.И.О. члена Совета директоров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Краткие биографические данные члена Совета директоров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Доля участия члена Совета директоров в уставном капитале Общества, % от уставного капитала Общества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/>
              </w:rPr>
            </w:pPr>
            <w:r>
              <w:rPr>
                <w:b/>
              </w:rPr>
              <w:t xml:space="preserve">Доля принадлежащих члену Совета директоров обыкновенных акций Общества, % от уставного капитала Общества</w:t>
            </w:r>
            <w:r>
              <w:rPr>
                <w:b/>
              </w:rPr>
            </w:r>
          </w:p>
        </w:tc>
      </w:tr>
      <w:tr>
        <w:trPr>
          <w:trHeight w:val="3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Харин Алексей Анатольевич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Год рождения: 1961. Образование: высшее. Занимаемая должность: президент ООО «Холдинговая компания «ГУТА».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0 %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0 %</w:t>
            </w:r>
            <w:r/>
          </w:p>
        </w:tc>
      </w:tr>
      <w:tr>
        <w:trPr>
          <w:trHeight w:val="3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Бутко Кирилл Викторович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rPr>
                <w:bCs/>
              </w:rPr>
              <w:t xml:space="preserve">Год рождения: 1973. Образование: высшее. Занимаемая должность: первый заместитель первого вице-президента ООО «Холдинговая компания «ГУТА».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0 %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0 %</w:t>
            </w:r>
            <w:r/>
          </w:p>
        </w:tc>
      </w:tr>
      <w:tr>
        <w:trPr>
          <w:trHeight w:val="5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Ирин Георгий Александрович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Cs/>
              </w:rPr>
            </w:pPr>
            <w:r>
              <w:rPr>
                <w:bCs/>
              </w:rPr>
              <w:t xml:space="preserve">Год рождения: 1964. Образование: высшее. Занимаемая должность: первый заместитель руководителя администрации совета директоров ООО «Холдинговая компания «ГУТА»</w:t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0 %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0 %</w:t>
            </w:r>
            <w:r/>
          </w:p>
        </w:tc>
      </w:tr>
      <w:tr>
        <w:trPr>
          <w:trHeight w:val="5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Петров Александр Юрьевич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Cs/>
              </w:rPr>
            </w:pPr>
            <w:r>
              <w:rPr>
                <w:bCs/>
              </w:rPr>
              <w:t xml:space="preserve">Год рождения: 1964. Образование: высшее. Занимаемая должность: старший вице-президент ООО «Холдинговая компания «ГУТА».</w:t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0 %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0 %</w:t>
            </w:r>
            <w:r/>
          </w:p>
        </w:tc>
      </w:tr>
      <w:tr>
        <w:trPr>
          <w:trHeight w:val="25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7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Петров Алексей Юрьевич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2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>
                <w:bCs/>
              </w:rPr>
            </w:pPr>
            <w:r>
              <w:rPr>
                <w:bCs/>
              </w:rPr>
              <w:t xml:space="preserve">Год рождения: 1971. Образование: высшее. Занимаемая должность: вице-президент ООО «Холдинговая компания «ГУТА».</w:t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0 %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844"/>
              <w:pBdr/>
              <w:spacing/>
              <w:ind/>
              <w:jc w:val="center"/>
              <w:rPr/>
            </w:pPr>
            <w:r>
              <w:t xml:space="preserve">0 %</w:t>
            </w:r>
            <w:r/>
          </w:p>
        </w:tc>
      </w:tr>
    </w:tbl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center"/>
        <w:rPr>
          <w:b/>
        </w:rPr>
      </w:pPr>
      <w:r>
        <w:rPr>
          <w:b/>
        </w:rPr>
        <w:t xml:space="preserve">11. Сведения о лице, осуществляющем функции единоличного исполнительного органа Общества, и членах коллегиального исполнительного органа Общества</w:t>
      </w:r>
      <w:r>
        <w:rPr>
          <w:b/>
        </w:rPr>
      </w:r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 w:firstLine="567"/>
        <w:jc w:val="both"/>
        <w:rPr/>
      </w:pPr>
      <w:r>
        <w:t xml:space="preserve">В соответствии с Уставом Общества единоличным исполнительным органом Общества является Генеральный директор.</w:t>
      </w:r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 w:firstLine="567"/>
        <w:jc w:val="both"/>
        <w:rPr/>
      </w:pPr>
      <w:r>
        <w:t xml:space="preserve">По решению год</w:t>
      </w:r>
      <w:r>
        <w:t xml:space="preserve">ового общего собрания акционеров от 30.05.2003 года полномочия единоличного исполнительного органа Общества переданы Управляющей организации, с которой 01.09.2003 года был заключен Договор о передаче полномочий единоличного исполнительного органа № 004-юд.</w:t>
      </w:r>
      <w:r/>
    </w:p>
    <w:p>
      <w:pPr>
        <w:pStyle w:val="844"/>
        <w:pBdr/>
        <w:spacing/>
        <w:ind w:firstLine="567"/>
        <w:jc w:val="both"/>
        <w:rPr/>
      </w:pPr>
      <w:r>
        <w:t xml:space="preserve">Сведения об Управляющей организации:</w:t>
      </w:r>
      <w:r/>
    </w:p>
    <w:p>
      <w:pPr>
        <w:pStyle w:val="844"/>
        <w:pBdr/>
        <w:spacing/>
        <w:ind w:firstLine="567"/>
        <w:jc w:val="both"/>
        <w:rPr/>
      </w:pPr>
      <w:r>
        <w:t xml:space="preserve">полное наименование: Общество с ограниченной ответственностью «Объединенные кондитеры»;</w:t>
      </w:r>
      <w:r/>
    </w:p>
    <w:p>
      <w:pPr>
        <w:pStyle w:val="844"/>
        <w:pBdr/>
        <w:spacing/>
        <w:ind w:firstLine="567"/>
        <w:jc w:val="both"/>
        <w:rPr/>
      </w:pPr>
      <w:r>
        <w:t xml:space="preserve">сокращенное наименование: ООО «Объединенные кондитеры»;</w:t>
      </w:r>
      <w:r/>
    </w:p>
    <w:p>
      <w:pPr>
        <w:pStyle w:val="844"/>
        <w:pBdr/>
        <w:spacing/>
        <w:ind w:firstLine="567"/>
        <w:jc w:val="both"/>
        <w:rPr/>
      </w:pPr>
      <w:r>
        <w:t xml:space="preserve">ИНН: </w:t>
      </w:r>
      <w:r>
        <w:rPr>
          <w:szCs w:val="21"/>
          <w:shd w:val="clear" w:color="auto" w:fill="ffffff"/>
        </w:rPr>
        <w:t xml:space="preserve">7705475711</w:t>
      </w:r>
      <w:r>
        <w:t xml:space="preserve">; КПП: </w:t>
      </w:r>
      <w:r>
        <w:rPr>
          <w:szCs w:val="21"/>
          <w:shd w:val="clear" w:color="auto" w:fill="ffffff"/>
        </w:rPr>
        <w:t xml:space="preserve">770501001</w:t>
      </w:r>
      <w:r>
        <w:t xml:space="preserve">; ОГРН: </w:t>
      </w:r>
      <w:r>
        <w:rPr>
          <w:szCs w:val="21"/>
          <w:shd w:val="clear" w:color="auto" w:fill="ffffff"/>
        </w:rPr>
        <w:t xml:space="preserve">1027705027360</w:t>
      </w:r>
      <w:r>
        <w:t xml:space="preserve">;</w:t>
      </w:r>
      <w:r/>
    </w:p>
    <w:p>
      <w:pPr>
        <w:pStyle w:val="844"/>
        <w:pBdr/>
        <w:spacing/>
        <w:ind w:firstLine="567"/>
        <w:jc w:val="both"/>
        <w:rPr/>
      </w:pPr>
      <w:r>
        <w:t xml:space="preserve">местонахождение: 115184, г. Москва, 2-ой Новокузнецкий пер., д. 13/15, стр. 1;</w:t>
      </w:r>
      <w:r/>
    </w:p>
    <w:p>
      <w:pPr>
        <w:pStyle w:val="844"/>
        <w:pBdr/>
        <w:spacing/>
        <w:ind w:firstLine="567"/>
        <w:jc w:val="both"/>
        <w:rPr/>
      </w:pPr>
      <w:r>
        <w:t xml:space="preserve">единоличный исполнительный орган: Генеральный директор Андрюшкин Дмитрий Александрович;</w:t>
      </w:r>
      <w:r/>
    </w:p>
    <w:p>
      <w:pPr>
        <w:pStyle w:val="844"/>
        <w:pBdr/>
        <w:spacing/>
        <w:ind w:firstLine="567"/>
        <w:jc w:val="both"/>
        <w:rPr/>
      </w:pPr>
      <w:r>
        <w:t xml:space="preserve">доля участия в уставном капитале Общества: 0 %;</w:t>
      </w:r>
      <w:r/>
    </w:p>
    <w:p>
      <w:pPr>
        <w:pStyle w:val="844"/>
        <w:pBdr/>
        <w:spacing/>
        <w:ind w:firstLine="567"/>
        <w:jc w:val="both"/>
        <w:rPr/>
      </w:pPr>
      <w:r>
        <w:t xml:space="preserve">доля принадлежащих обыкновенных акций Общества: 0 %.</w:t>
      </w:r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 w:firstLine="567"/>
        <w:jc w:val="both"/>
        <w:rPr/>
      </w:pPr>
      <w:r>
        <w:t xml:space="preserve">Коллегиальный исполнительный орган Общества Уставом Общества не предусмотрен.</w:t>
      </w:r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center"/>
        <w:rPr>
          <w:b/>
        </w:rPr>
      </w:pPr>
      <w:r>
        <w:rPr>
          <w:b/>
        </w:rPr>
        <w:t xml:space="preserve">12. Основные положения политики Общества в области вознаграждения и (или) компенсации расходов, а также сведения по каждому из органов управления Общества с указанием размера всех видов вознаграждения</w:t>
      </w:r>
      <w:r>
        <w:rPr>
          <w:b/>
        </w:rPr>
      </w:r>
    </w:p>
    <w:p>
      <w:pPr>
        <w:pStyle w:val="759"/>
        <w:pBdr/>
        <w:spacing/>
        <w:ind/>
        <w:jc w:val="both"/>
        <w:rPr/>
      </w:pPr>
      <w:r/>
      <w:r/>
    </w:p>
    <w:p>
      <w:pPr>
        <w:pStyle w:val="844"/>
        <w:pBdr/>
        <w:spacing/>
        <w:ind w:firstLine="567"/>
        <w:jc w:val="both"/>
        <w:rPr/>
      </w:pPr>
      <w:r>
        <w:t xml:space="preserve">Политика Общества в области вознаграждений направ</w:t>
      </w:r>
      <w:r>
        <w:t xml:space="preserve">лена на то, чтобы обеспечить работникам справедливый размер вознаграждений не ниже среднего вознаграждения по отрасли и региону, с учетом квалификации и меры ответственности. Действующие в Обществе Положение об оплате труда, Положение о премировании и Поло</w:t>
      </w:r>
      <w:r>
        <w:t xml:space="preserve">жение о дополнительном премиальном фонде позволяют стимулировать работников в форме надбавок, которые могут назначаться ежемесячно за особые успехи в труде, за стаж, квалификацию и т.п., а также премий, которые выплачиваются по результатам работы за месяц.</w:t>
      </w:r>
      <w:r/>
    </w:p>
    <w:p>
      <w:pPr>
        <w:pStyle w:val="844"/>
        <w:pBdr/>
        <w:spacing/>
        <w:ind w:firstLine="567"/>
        <w:jc w:val="both"/>
        <w:rPr/>
      </w:pPr>
      <w:r>
        <w:t xml:space="preserve">Вознаграждения и компенсации членам Совета директоров Общества, связанные с осуществлением ими соответствующих функций, в 2024 году не выплачивались.</w:t>
      </w:r>
      <w:r/>
    </w:p>
    <w:p>
      <w:pPr>
        <w:pStyle w:val="844"/>
        <w:pBdr/>
        <w:spacing/>
        <w:ind w:firstLine="567"/>
        <w:jc w:val="both"/>
        <w:rPr/>
      </w:pPr>
      <w:r>
        <w:t xml:space="preserve">Вознаграждение Управляющей организации Обществу с ограниченной ответственностью «Объедине</w:t>
      </w:r>
      <w:r>
        <w:t xml:space="preserve">нные кондитеры» за осуществление функций единоличного исполнительного органа Общества в отчетный период выплачивалось в соответствии с Договором о передаче полномочий единоличного исполнительного органа № 004-юд от 01.09.2003 года, его совокупный размер со</w:t>
      </w:r>
      <w:r>
        <w:t xml:space="preserve">ставил 7.452.000 рублей, включая НДС 20 %. Компенсации Управляющей организации Обществу с ограниченной ответственностью «Объединенные кондитеры», связанные с осуществлением функций единоличного исполнительного органа Общества, в 2024 году не выплачивались.</w:t>
      </w:r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center"/>
        <w:rPr>
          <w:b/>
        </w:rPr>
      </w:pPr>
      <w:r>
        <w:rPr>
          <w:b/>
        </w:rPr>
        <w:t xml:space="preserve">13. Сведения о соблюдении Обществом принципов и рекомендаций Кодекса корпоративного управления, рекомендованного к применению Банком России</w:t>
      </w:r>
      <w:r>
        <w:rPr>
          <w:b/>
        </w:rPr>
      </w:r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 w:firstLine="567"/>
        <w:jc w:val="both"/>
        <w:rPr/>
      </w:pPr>
      <w:r>
        <w:t xml:space="preserve">Обществом официально не утвержден Кодекс корпоративного управления или ин</w:t>
      </w:r>
      <w:r>
        <w:t xml:space="preserve">ой аналогичный документ, однако Открытое акционерное общество «Йошкар-Олинская кондитерская фабрика» стремится соответствовать принципам и рекомендациям, которые предусмотрены в Кодексе корпоративного управления, рекомендованном к применению Банком России.</w:t>
      </w:r>
      <w:r/>
    </w:p>
    <w:p>
      <w:pPr>
        <w:pStyle w:val="844"/>
        <w:pBdr/>
        <w:spacing/>
        <w:ind w:firstLine="567"/>
        <w:jc w:val="both"/>
        <w:rPr/>
      </w:pPr>
      <w:r>
        <w:t xml:space="preserve">Открытое акционерное общество «Йошкар-Олинская кондитерская фабрика» обеспечивает акционерам все возможности по участию </w:t>
      </w:r>
      <w:r>
        <w:t xml:space="preserve">в управлении Обществом и получению информации о деятельности Общества в соответствии с Гражданским кодексом Российской Федерации, Федеральным законом «Об акционерных обществах», Федеральным законом «О рынке ценных бумаг» и нормативными актами Банка России.</w:t>
      </w:r>
      <w:r/>
    </w:p>
    <w:p>
      <w:pPr>
        <w:pStyle w:val="844"/>
        <w:pBdr/>
        <w:spacing/>
        <w:ind w:firstLine="567"/>
        <w:jc w:val="both"/>
        <w:rPr/>
      </w:pPr>
      <w:r>
        <w:t xml:space="preserve">Акционеры Общества обеспечены надежными и эффективными способами учета прав собственности на акции. Акционеры имеют право участвовать в управлении Обществом</w:t>
      </w:r>
      <w:r>
        <w:t xml:space="preserve"> путем принятия решений по наиболее важным вопросам деятельности Общества на общем собрании акционеров. Акционеры имеют право на регулярное и своевременное получение полной и достоверной информации об Обществе, в том числе о финансовом положении Общества, </w:t>
      </w:r>
      <w:r>
        <w:t xml:space="preserve">результатах его деятельности, об управлении Обществом, о крупных акционерах Общества, а также о существенных фактах, затрагивающих его финансово-хозяйственную деятельность. Информационная политика Открытого акционерного общества «Йошкар-Олинская кондитерск</w:t>
      </w:r>
      <w:r>
        <w:t xml:space="preserve">ая фабрика» обеспечивает возможность свободного и необременительного доступа к информации об Обществе. В Открытом акционерном обществе «Йошкар-Олинская кондитерская фабрика» осуществляется контроль за использованием конфиденциальной и служебной информации.</w:t>
      </w:r>
      <w:r/>
    </w:p>
    <w:p>
      <w:pPr>
        <w:pStyle w:val="844"/>
        <w:pBdr/>
        <w:spacing/>
        <w:ind w:firstLine="567"/>
        <w:jc w:val="both"/>
        <w:rPr/>
      </w:pPr>
      <w:r>
        <w:t xml:space="preserve">Для обеспечения эффективной дея</w:t>
      </w:r>
      <w:r>
        <w:t xml:space="preserve">тельности Общества Управляющая организация Общество с ограниченной ответственностью «Объединенные кондитеры» учитывает интересы третьих лиц, в том числе кредиторов Общества, государства и муниципальных образований, на территории которых находится Общество.</w:t>
      </w:r>
      <w:r/>
    </w:p>
    <w:p>
      <w:pPr>
        <w:pStyle w:val="844"/>
        <w:pBdr/>
        <w:spacing/>
        <w:ind w:firstLine="567"/>
        <w:jc w:val="both"/>
        <w:rPr/>
      </w:pPr>
      <w:r>
        <w:t xml:space="preserve">Основным принципом построения Обществом взаимоотношений с акционерами и инвесторами является разумный баланс интересов Общества как хозяйствующего субъекта и как акционерного общества, заинтересованного в защите прав и законных интересов своих акционеров.</w:t>
      </w:r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center"/>
        <w:rPr>
          <w:b/>
        </w:rPr>
      </w:pPr>
      <w:r>
        <w:rPr>
          <w:b/>
        </w:rPr>
        <w:t xml:space="preserve">14. Иная информация, предусмотренная Уставом или иным внутренним документом Общества</w:t>
      </w:r>
      <w:r>
        <w:rPr>
          <w:b/>
        </w:rPr>
      </w:r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 w:firstLine="567"/>
        <w:jc w:val="both"/>
        <w:rPr/>
      </w:pPr>
      <w:r>
        <w:t xml:space="preserve">Иная информация, подлежащая включению в настоящий годовой отчет о деятельности Общества, Уставом или иным внутренним документом Общества не предусмотрена.</w:t>
      </w:r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/>
      </w:pPr>
      <w:r/>
      <w:r/>
    </w:p>
    <w:p>
      <w:pPr>
        <w:pStyle w:val="844"/>
        <w:pBdr/>
        <w:spacing/>
        <w:ind/>
        <w:jc w:val="both"/>
        <w:rPr>
          <w:b/>
        </w:rPr>
      </w:pPr>
      <w:r>
        <w:rPr>
          <w:b/>
        </w:rPr>
        <w:t xml:space="preserve">Главный инженер</w:t>
      </w:r>
      <w:r>
        <w:rPr>
          <w:b/>
        </w:rPr>
      </w:r>
    </w:p>
    <w:p>
      <w:pPr>
        <w:pStyle w:val="844"/>
        <w:pBdr/>
        <w:spacing/>
        <w:ind/>
        <w:jc w:val="both"/>
        <w:rPr>
          <w:b/>
        </w:rPr>
      </w:pPr>
      <w:r>
        <w:rPr>
          <w:b/>
        </w:rPr>
        <w:t xml:space="preserve">О</w:t>
      </w:r>
      <w:r>
        <w:rPr>
          <w:b/>
        </w:rPr>
        <w:t xml:space="preserve">ткрытого акционерного общества</w:t>
      </w:r>
      <w:r>
        <w:rPr>
          <w:b/>
        </w:rPr>
      </w:r>
    </w:p>
    <w:p>
      <w:pPr>
        <w:pStyle w:val="844"/>
        <w:pBdr/>
        <w:spacing/>
        <w:ind/>
        <w:jc w:val="both"/>
        <w:rPr>
          <w:b/>
        </w:rPr>
      </w:pPr>
      <w:r>
        <w:rPr>
          <w:b/>
        </w:rPr>
        <w:t xml:space="preserve">«</w:t>
      </w:r>
      <w:r>
        <w:rPr>
          <w:b/>
        </w:rPr>
        <w:t xml:space="preserve">Йошкар-</w:t>
      </w:r>
      <w:r>
        <w:rPr>
          <w:b/>
        </w:rPr>
        <w:t xml:space="preserve">О</w:t>
      </w:r>
      <w:r>
        <w:rPr>
          <w:b/>
        </w:rPr>
        <w:t xml:space="preserve">линская</w:t>
      </w:r>
      <w:r>
        <w:rPr>
          <w:b/>
        </w:rPr>
        <w:t xml:space="preserve"> кондитер</w:t>
      </w:r>
      <w:r>
        <w:rPr>
          <w:b/>
        </w:rPr>
        <w:t xml:space="preserve">ская фабрика</w:t>
      </w:r>
      <w:r>
        <w:rPr>
          <w:b/>
        </w:rPr>
        <w:t xml:space="preserve">»                                                                                                             _____________ / </w:t>
      </w:r>
      <w:r>
        <w:rPr>
          <w:b/>
        </w:rPr>
        <w:t xml:space="preserve">Лимонов</w:t>
      </w:r>
      <w:r>
        <w:rPr>
          <w:b/>
        </w:rPr>
        <w:t xml:space="preserve"> </w:t>
      </w:r>
      <w:r>
        <w:rPr>
          <w:b/>
        </w:rPr>
        <w:t xml:space="preserve">И.</w:t>
      </w:r>
      <w:r>
        <w:rPr>
          <w:b/>
        </w:rPr>
        <w:t xml:space="preserve">А.</w:t>
      </w:r>
      <w:r>
        <w:rPr>
          <w:b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h="11906" w:orient="landscape" w:w="16838"/>
      <w:pgMar w:top="681" w:right="680" w:bottom="681" w:left="1418" w:header="624" w:footer="624" w:gutter="0"/>
      <w:cols w:num="1" w:sep="0" w:space="1701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</w:font>
  <w:font w:name="Courier New">
    <w:panose1 w:val="02070309020205020404"/>
  </w:font>
  <w:font w:name="Symbol">
    <w:panose1 w:val="05010000000000000000"/>
  </w:font>
  <w:font w:name="Wingdings">
    <w:panose1 w:val="05010000000000000000"/>
  </w:font>
  <w:font w:name="Liberation Sans">
    <w:panose1 w:val="020B06040202020202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  <w:font w:name="Tahoma">
    <w:panose1 w:val="020B0604030504040204"/>
  </w:font>
  <w:font w:name="Droid Sans">
    <w:panose1 w:val="020B0606030804020204"/>
  </w:font>
  <w:font w:name="Times New Roman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4"/>
      <w:pBdr/>
      <w:spacing/>
      <w:ind/>
      <w:jc w:val="right"/>
      <w:rPr/>
    </w:pPr>
    <w:r>
      <w:fldChar w:fldCharType="begin"/>
    </w:r>
    <w:r>
      <w:instrText xml:space="preserve"> PAGE </w:instrText>
    </w:r>
    <w:r>
      <w:fldChar w:fldCharType="separate"/>
    </w:r>
    <w:r>
      <w:t xml:space="preserve">26</w:t>
    </w:r>
    <w:r>
      <w:fldChar w:fldCharType="end"/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4"/>
      <w:pBdr/>
      <w:spacing/>
      <w:ind w:right="360"/>
      <w:rPr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" behindDoc="1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834"/>
                            <w:pBdr/>
                            <w:spacing/>
                            <w:ind/>
                            <w:rPr>
                              <w:rStyle w:val="799"/>
                            </w:rPr>
                          </w:pPr>
                          <w:r>
                            <w:rPr>
                              <w:rStyle w:val="799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799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799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799"/>
                              <w:color w:val="000000"/>
                            </w:rPr>
                            <w:t xml:space="preserve">0</w:t>
                          </w:r>
                          <w:r>
                            <w:rPr>
                              <w:rStyle w:val="799"/>
                              <w:color w:val="000000"/>
                            </w:rPr>
                            <w:fldChar w:fldCharType="end"/>
                          </w:r>
                          <w:r>
                            <w:rPr>
                              <w:rStyle w:val="799"/>
                            </w:rPr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1" type="#_x0000_t1" style="position:absolute;z-index:-2;o:allowoverlap:true;o:allowincell:false;mso-position-horizontal-relative:margin;mso-position-horizontal:right;mso-position-vertical-relative:text;margin-top:0.05pt;mso-position-vertical:absolute;width:1.15pt;height:1.15pt;mso-wrap-distance-left:0.00pt;mso-wrap-distance-top:0.00pt;mso-wrap-distance-right:0.00pt;mso-wrap-distance-bottom:0.00pt;v-text-anchor:top;visibility:visible;" filled="f" stroked="f" strokeweight="0.00pt">
              <w10:wrap type="square"/>
              <v:textbox inset="0,0,0,0">
                <w:txbxContent>
                  <w:p>
                    <w:pPr>
                      <w:pStyle w:val="834"/>
                      <w:pBdr/>
                      <w:spacing/>
                      <w:ind/>
                      <w:rPr>
                        <w:rStyle w:val="799"/>
                      </w:rPr>
                    </w:pPr>
                    <w:r>
                      <w:rPr>
                        <w:rStyle w:val="799"/>
                        <w:color w:val="000000"/>
                      </w:rPr>
                      <w:fldChar w:fldCharType="begin"/>
                    </w:r>
                    <w:r>
                      <w:rPr>
                        <w:rStyle w:val="799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799"/>
                        <w:color w:val="000000"/>
                      </w:rPr>
                      <w:fldChar w:fldCharType="separate"/>
                    </w:r>
                    <w:r>
                      <w:rPr>
                        <w:rStyle w:val="799"/>
                        <w:color w:val="000000"/>
                      </w:rPr>
                      <w:t xml:space="preserve">0</w:t>
                    </w:r>
                    <w:r>
                      <w:rPr>
                        <w:rStyle w:val="799"/>
                        <w:color w:val="000000"/>
                      </w:rPr>
                      <w:fldChar w:fldCharType="end"/>
                    </w:r>
                    <w:r>
                      <w:rPr>
                        <w:rStyle w:val="799"/>
                      </w:rPr>
                    </w:r>
                  </w:p>
                </w:txbxContent>
              </v:textbox>
            </v:shape>
          </w:pict>
        </mc:Fallback>
      </mc:AlternateContent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4"/>
      <w:pBdr/>
      <w:spacing/>
      <w:ind/>
      <w:jc w:val="both"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4"/>
      <w:pBdr/>
      <w:spacing/>
      <w:ind/>
      <w:jc w:val="both"/>
      <w:rPr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5"/>
      <w:pBdr/>
      <w:spacing/>
      <w:ind/>
      <w:rPr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4"/>
      <w:pBdr/>
      <w:spacing/>
      <w:ind/>
      <w:jc w:val="both"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tru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1571"/>
      </w:pPr>
      <w:rPr>
        <w:rFonts w:hint="default" w:ascii="Symbol" w:hAnsi="Symbol" w:cs="Symbol"/>
      </w:rPr>
      <w:start w:val="1"/>
      <w:suff w:val="tab"/>
    </w:lvl>
    <w:lvl w:ilvl="1">
      <w:isLgl w:val="tru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2291"/>
      </w:pPr>
      <w:rPr>
        <w:rFonts w:hint="default" w:ascii="Courier New" w:hAnsi="Courier New" w:cs="Courier New"/>
      </w:rPr>
      <w:start w:val="1"/>
      <w:suff w:val="tab"/>
    </w:lvl>
    <w:lvl w:ilvl="2">
      <w:isLgl w:val="tru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3011"/>
      </w:pPr>
      <w:rPr>
        <w:rFonts w:hint="default" w:ascii="Wingdings" w:hAnsi="Wingdings" w:cs="Wingdings"/>
      </w:rPr>
      <w:start w:val="1"/>
      <w:suff w:val="tab"/>
    </w:lvl>
    <w:lvl w:ilvl="3">
      <w:isLgl w:val="tru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3731"/>
      </w:pPr>
      <w:rPr>
        <w:rFonts w:hint="default" w:ascii="Symbol" w:hAnsi="Symbol" w:cs="Symbol"/>
      </w:rPr>
      <w:start w:val="1"/>
      <w:suff w:val="tab"/>
    </w:lvl>
    <w:lvl w:ilvl="4">
      <w:isLgl w:val="tru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4451"/>
      </w:pPr>
      <w:rPr>
        <w:rFonts w:hint="default" w:ascii="Courier New" w:hAnsi="Courier New" w:cs="Courier New"/>
      </w:rPr>
      <w:start w:val="1"/>
      <w:suff w:val="tab"/>
    </w:lvl>
    <w:lvl w:ilvl="5">
      <w:isLgl w:val="tru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5171"/>
      </w:pPr>
      <w:rPr>
        <w:rFonts w:hint="default" w:ascii="Wingdings" w:hAnsi="Wingdings" w:cs="Wingdings"/>
      </w:rPr>
      <w:start w:val="1"/>
      <w:suff w:val="tab"/>
    </w:lvl>
    <w:lvl w:ilvl="6">
      <w:isLgl w:val="tru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5891"/>
      </w:pPr>
      <w:rPr>
        <w:rFonts w:hint="default" w:ascii="Symbol" w:hAnsi="Symbol" w:cs="Symbol"/>
      </w:rPr>
      <w:start w:val="1"/>
      <w:suff w:val="tab"/>
    </w:lvl>
    <w:lvl w:ilvl="7">
      <w:isLgl w:val="tru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6611"/>
      </w:pPr>
      <w:rPr>
        <w:rFonts w:hint="default" w:ascii="Courier New" w:hAnsi="Courier New" w:cs="Courier New"/>
      </w:rPr>
      <w:start w:val="1"/>
      <w:suff w:val="tab"/>
    </w:lvl>
    <w:lvl w:ilvl="8">
      <w:isLgl w:val="tru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7331"/>
      </w:pPr>
      <w:rPr>
        <w:rFonts w:hint="default" w:ascii="Wingdings" w:hAnsi="Wingdings" w:cs="Wingdings"/>
      </w:rPr>
      <w:start w:val="1"/>
      <w:suff w:val="tab"/>
    </w:lvl>
  </w:abstractNum>
  <w:abstractNum w:abstractNumId="1">
    <w:lvl w:ilvl="0">
      <w:isLgl w:val="tru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720"/>
      </w:pPr>
      <w:rPr>
        <w:rFonts w:hint="default" w:ascii="Symbol" w:hAnsi="Symbol" w:cs="Symbol"/>
      </w:rPr>
      <w:start w:val="1"/>
      <w:suff w:val="tab"/>
    </w:lvl>
    <w:lvl w:ilvl="1">
      <w:isLgl w:val="tru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tru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2160"/>
      </w:pPr>
      <w:rPr>
        <w:rFonts w:hint="default" w:ascii="Wingdings" w:hAnsi="Wingdings" w:cs="Wingdings"/>
      </w:rPr>
      <w:start w:val="1"/>
      <w:suff w:val="tab"/>
    </w:lvl>
    <w:lvl w:ilvl="3">
      <w:isLgl w:val="tru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2880"/>
      </w:pPr>
      <w:rPr>
        <w:rFonts w:hint="default" w:ascii="Symbol" w:hAnsi="Symbol" w:cs="Symbol"/>
      </w:rPr>
      <w:start w:val="1"/>
      <w:suff w:val="tab"/>
    </w:lvl>
    <w:lvl w:ilvl="4">
      <w:isLgl w:val="tru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tru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4320"/>
      </w:pPr>
      <w:rPr>
        <w:rFonts w:hint="default" w:ascii="Wingdings" w:hAnsi="Wingdings" w:cs="Wingdings"/>
      </w:rPr>
      <w:start w:val="1"/>
      <w:suff w:val="tab"/>
    </w:lvl>
    <w:lvl w:ilvl="6">
      <w:isLgl w:val="tru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5040"/>
      </w:pPr>
      <w:rPr>
        <w:rFonts w:hint="default" w:ascii="Symbol" w:hAnsi="Symbol" w:cs="Symbol"/>
      </w:rPr>
      <w:start w:val="1"/>
      <w:suff w:val="tab"/>
    </w:lvl>
    <w:lvl w:ilvl="7">
      <w:isLgl w:val="tru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tru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6480"/>
      </w:pPr>
      <w:rPr>
        <w:rFonts w:hint="default" w:ascii="Wingdings" w:hAnsi="Wingdings" w:cs="Wingdings"/>
      </w:rPr>
      <w:start w:val="1"/>
      <w:suff w:val="tab"/>
    </w:lvl>
  </w:abstractNum>
  <w:abstractNum w:abstractNumId="2">
    <w:lvl w:ilvl="0">
      <w:isLgl w:val="tru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720"/>
      </w:pPr>
      <w:rPr>
        <w:rFonts w:hint="default" w:ascii="Symbol" w:hAnsi="Symbol" w:cs="Symbol"/>
      </w:rPr>
      <w:start w:val="1"/>
      <w:suff w:val="tab"/>
    </w:lvl>
    <w:lvl w:ilvl="1">
      <w:isLgl w:val="tru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tru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2160"/>
      </w:pPr>
      <w:rPr>
        <w:rFonts w:hint="default" w:ascii="Wingdings" w:hAnsi="Wingdings" w:cs="Wingdings"/>
      </w:rPr>
      <w:start w:val="1"/>
      <w:suff w:val="tab"/>
    </w:lvl>
    <w:lvl w:ilvl="3">
      <w:isLgl w:val="tru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2880"/>
      </w:pPr>
      <w:rPr>
        <w:rFonts w:hint="default" w:ascii="Symbol" w:hAnsi="Symbol" w:cs="Symbol"/>
      </w:rPr>
      <w:start w:val="1"/>
      <w:suff w:val="tab"/>
    </w:lvl>
    <w:lvl w:ilvl="4">
      <w:isLgl w:val="tru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tru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4320"/>
      </w:pPr>
      <w:rPr>
        <w:rFonts w:hint="default" w:ascii="Wingdings" w:hAnsi="Wingdings" w:cs="Wingdings"/>
      </w:rPr>
      <w:start w:val="1"/>
      <w:suff w:val="tab"/>
    </w:lvl>
    <w:lvl w:ilvl="6">
      <w:isLgl w:val="tru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5040"/>
      </w:pPr>
      <w:rPr>
        <w:rFonts w:hint="default" w:ascii="Symbol" w:hAnsi="Symbol" w:cs="Symbol"/>
      </w:rPr>
      <w:start w:val="1"/>
      <w:suff w:val="tab"/>
    </w:lvl>
    <w:lvl w:ilvl="7">
      <w:isLgl w:val="tru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tru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6480"/>
      </w:pPr>
      <w:rPr>
        <w:rFonts w:hint="default" w:ascii="Wingdings" w:hAnsi="Wingdings" w:cs="Wingdings"/>
      </w:rPr>
      <w:start w:val="1"/>
      <w:suff w:val="tab"/>
    </w:lvl>
  </w:abstractNum>
  <w:abstractNum w:abstractNumId="3">
    <w:lvl w:ilvl="0">
      <w:isLgl w:val="tru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720"/>
      </w:pPr>
      <w:rPr>
        <w:rFonts w:hint="default" w:ascii="Symbol" w:hAnsi="Symbol" w:cs="Symbol"/>
      </w:rPr>
      <w:start w:val="1"/>
      <w:suff w:val="tab"/>
    </w:lvl>
    <w:lvl w:ilvl="1">
      <w:isLgl w:val="tru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tru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2160"/>
      </w:pPr>
      <w:rPr>
        <w:rFonts w:hint="default" w:ascii="Wingdings" w:hAnsi="Wingdings" w:cs="Wingdings"/>
      </w:rPr>
      <w:start w:val="1"/>
      <w:suff w:val="tab"/>
    </w:lvl>
    <w:lvl w:ilvl="3">
      <w:isLgl w:val="tru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2880"/>
      </w:pPr>
      <w:rPr>
        <w:rFonts w:hint="default" w:ascii="Symbol" w:hAnsi="Symbol" w:cs="Symbol"/>
      </w:rPr>
      <w:start w:val="1"/>
      <w:suff w:val="tab"/>
    </w:lvl>
    <w:lvl w:ilvl="4">
      <w:isLgl w:val="tru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tru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4320"/>
      </w:pPr>
      <w:rPr>
        <w:rFonts w:hint="default" w:ascii="Wingdings" w:hAnsi="Wingdings" w:cs="Wingdings"/>
      </w:rPr>
      <w:start w:val="1"/>
      <w:suff w:val="tab"/>
    </w:lvl>
    <w:lvl w:ilvl="6">
      <w:isLgl w:val="tru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5040"/>
      </w:pPr>
      <w:rPr>
        <w:rFonts w:hint="default" w:ascii="Symbol" w:hAnsi="Symbol" w:cs="Symbol"/>
      </w:rPr>
      <w:start w:val="1"/>
      <w:suff w:val="tab"/>
    </w:lvl>
    <w:lvl w:ilvl="7">
      <w:isLgl w:val="tru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tru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6480"/>
      </w:pPr>
      <w:rPr>
        <w:rFonts w:hint="default" w:ascii="Wingdings" w:hAnsi="Wingdings" w:cs="Wingdings"/>
      </w:rPr>
      <w:start w:val="1"/>
      <w:suff w:val="tab"/>
    </w:lvl>
  </w:abstractNum>
  <w:abstractNum w:abstractNumId="4">
    <w:lvl w:ilvl="0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Tahoma" w:cs="Droid Sans"/>
        <w:lang w:val="ru-RU" w:eastAsia="ru-RU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numbering" w:styleId="148" w:default="1">
    <w:name w:val="No List"/>
    <w:uiPriority w:val="99"/>
    <w:semiHidden/>
    <w:unhideWhenUsed/>
    <w:pPr>
      <w:pBdr/>
      <w:spacing/>
      <w:ind/>
    </w:pPr>
  </w:style>
  <w:style w:type="character" w:styleId="150">
    <w:name w:val="Heading 2 Char"/>
    <w:basedOn w:val="769"/>
    <w:link w:val="76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2">
    <w:name w:val="Heading 4 Char"/>
    <w:basedOn w:val="769"/>
    <w:link w:val="76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69"/>
    <w:link w:val="76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69"/>
    <w:link w:val="76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6">
    <w:name w:val="Heading 8 Char"/>
    <w:basedOn w:val="769"/>
    <w:link w:val="76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69"/>
    <w:link w:val="76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61">
    <w:name w:val="Subtitle Char"/>
    <w:basedOn w:val="769"/>
    <w:link w:val="81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3">
    <w:name w:val="Quote Char"/>
    <w:basedOn w:val="769"/>
    <w:link w:val="813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7">
    <w:name w:val="Intense Quote Char"/>
    <w:basedOn w:val="769"/>
    <w:link w:val="814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81">
    <w:name w:val="Footnote Text Char"/>
    <w:basedOn w:val="769"/>
    <w:link w:val="815"/>
    <w:uiPriority w:val="99"/>
    <w:semiHidden/>
    <w:pPr>
      <w:pBdr/>
      <w:spacing/>
      <w:ind/>
    </w:pPr>
    <w:rPr>
      <w:sz w:val="20"/>
      <w:szCs w:val="20"/>
    </w:rPr>
  </w:style>
  <w:style w:type="character" w:styleId="184">
    <w:name w:val="Endnote Text Char"/>
    <w:basedOn w:val="769"/>
    <w:link w:val="816"/>
    <w:uiPriority w:val="99"/>
    <w:semiHidden/>
    <w:pPr>
      <w:pBdr/>
      <w:spacing/>
      <w:ind/>
    </w:pPr>
    <w:rPr>
      <w:sz w:val="20"/>
      <w:szCs w:val="20"/>
    </w:rPr>
  </w:style>
  <w:style w:type="paragraph" w:styleId="759" w:default="1">
    <w:name w:val="Normal"/>
    <w:qFormat/>
    <w:pPr>
      <w:widowControl w:val="true"/>
      <w:pBdr/>
      <w:bidi w:val="false"/>
      <w:spacing w:after="0" w:before="0"/>
      <w:ind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paragraph" w:styleId="760">
    <w:name w:val="Heading 1"/>
    <w:basedOn w:val="759"/>
    <w:next w:val="759"/>
    <w:qFormat/>
    <w:pPr>
      <w:keepNext w:val="true"/>
      <w:pBdr/>
      <w:spacing/>
      <w:ind/>
      <w:jc w:val="center"/>
      <w:outlineLvl w:val="0"/>
    </w:pPr>
    <w:rPr>
      <w:b/>
      <w:bCs/>
    </w:rPr>
  </w:style>
  <w:style w:type="paragraph" w:styleId="761">
    <w:name w:val="Heading 2"/>
    <w:basedOn w:val="759"/>
    <w:next w:val="759"/>
    <w:link w:val="771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365f91" w:themeColor="accent1" w:themeShade="BF"/>
      <w:sz w:val="32"/>
      <w:szCs w:val="32"/>
    </w:rPr>
  </w:style>
  <w:style w:type="paragraph" w:styleId="762">
    <w:name w:val="Heading 3"/>
    <w:basedOn w:val="759"/>
    <w:next w:val="759"/>
    <w:qFormat/>
    <w:pPr>
      <w:keepNext w:val="true"/>
      <w:pBdr/>
      <w:spacing/>
      <w:ind/>
      <w:jc w:val="center"/>
      <w:outlineLvl w:val="2"/>
    </w:pPr>
    <w:rPr>
      <w:rFonts w:ascii="Tahoma" w:hAnsi="Tahoma" w:eastAsia="Arial Unicode MS" w:cs="Tahoma"/>
      <w:b/>
      <w:bCs/>
      <w:sz w:val="20"/>
      <w:szCs w:val="20"/>
    </w:rPr>
  </w:style>
  <w:style w:type="paragraph" w:styleId="763">
    <w:name w:val="Heading 4"/>
    <w:basedOn w:val="759"/>
    <w:next w:val="759"/>
    <w:link w:val="773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365f91" w:themeColor="accent1" w:themeShade="BF"/>
    </w:rPr>
  </w:style>
  <w:style w:type="paragraph" w:styleId="764">
    <w:name w:val="Heading 5"/>
    <w:basedOn w:val="759"/>
    <w:next w:val="759"/>
    <w:link w:val="774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365f91" w:themeColor="accent1" w:themeShade="BF"/>
    </w:rPr>
  </w:style>
  <w:style w:type="paragraph" w:styleId="765">
    <w:name w:val="Heading 6"/>
    <w:basedOn w:val="759"/>
    <w:next w:val="759"/>
    <w:link w:val="775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766">
    <w:name w:val="Heading 7"/>
    <w:basedOn w:val="759"/>
    <w:next w:val="759"/>
    <w:link w:val="800"/>
    <w:qFormat/>
    <w:pPr>
      <w:pBdr/>
      <w:spacing w:after="60" w:before="240"/>
      <w:ind/>
      <w:outlineLvl w:val="6"/>
    </w:pPr>
    <w:rPr>
      <w:rFonts w:ascii="Calibri" w:hAnsi="Calibri"/>
    </w:rPr>
  </w:style>
  <w:style w:type="paragraph" w:styleId="767">
    <w:name w:val="Heading 8"/>
    <w:basedOn w:val="759"/>
    <w:next w:val="759"/>
    <w:link w:val="777"/>
    <w:uiPriority w:val="9"/>
    <w:unhideWhenUsed/>
    <w:qFormat/>
    <w:pPr>
      <w:keepNext w:val="true"/>
      <w:keepLines w:val="true"/>
      <w:pBdr/>
      <w:spacing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768">
    <w:name w:val="Heading 9"/>
    <w:basedOn w:val="759"/>
    <w:next w:val="759"/>
    <w:link w:val="778"/>
    <w:uiPriority w:val="9"/>
    <w:unhideWhenUsed/>
    <w:qFormat/>
    <w:pPr>
      <w:keepNext w:val="true"/>
      <w:keepLines w:val="true"/>
      <w:pBdr/>
      <w:spacing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769" w:default="1">
    <w:name w:val="Default Paragraph Font"/>
    <w:uiPriority w:val="1"/>
    <w:semiHidden/>
    <w:unhideWhenUsed/>
    <w:qFormat/>
    <w:pPr>
      <w:pBdr/>
      <w:spacing/>
      <w:ind/>
    </w:pPr>
  </w:style>
  <w:style w:type="character" w:styleId="770" w:customStyle="1">
    <w:name w:val="Heading 1 Char"/>
    <w:basedOn w:val="769"/>
    <w:uiPriority w:val="9"/>
    <w:qFormat/>
    <w:pPr>
      <w:pBdr/>
      <w:spacing/>
      <w:ind/>
    </w:pPr>
    <w:rPr>
      <w:rFonts w:ascii="Arial" w:hAnsi="Arial" w:eastAsia="Arial" w:cs="Arial"/>
      <w:color w:val="365f91" w:themeColor="accent1" w:themeShade="BF"/>
      <w:sz w:val="40"/>
      <w:szCs w:val="40"/>
    </w:rPr>
  </w:style>
  <w:style w:type="character" w:styleId="771" w:customStyle="1">
    <w:name w:val="Заголовок 2 Знак"/>
    <w:basedOn w:val="769"/>
    <w:uiPriority w:val="9"/>
    <w:qFormat/>
    <w:pPr>
      <w:pBdr/>
      <w:spacing/>
      <w:ind/>
    </w:pPr>
    <w:rPr>
      <w:rFonts w:ascii="Arial" w:hAnsi="Arial" w:eastAsia="Arial" w:cs="Arial"/>
      <w:color w:val="365f91" w:themeColor="accent1" w:themeShade="BF"/>
      <w:sz w:val="32"/>
      <w:szCs w:val="32"/>
    </w:rPr>
  </w:style>
  <w:style w:type="character" w:styleId="772" w:customStyle="1">
    <w:name w:val="Heading 3 Char"/>
    <w:basedOn w:val="769"/>
    <w:uiPriority w:val="9"/>
    <w:qFormat/>
    <w:pPr>
      <w:pBdr/>
      <w:spacing/>
      <w:ind/>
    </w:pPr>
    <w:rPr>
      <w:rFonts w:ascii="Arial" w:hAnsi="Arial" w:eastAsia="Arial" w:cs="Arial"/>
      <w:color w:val="365f91" w:themeColor="accent1" w:themeShade="BF"/>
      <w:sz w:val="28"/>
      <w:szCs w:val="28"/>
    </w:rPr>
  </w:style>
  <w:style w:type="character" w:styleId="773" w:customStyle="1">
    <w:name w:val="Заголовок 4 Знак"/>
    <w:basedOn w:val="769"/>
    <w:uiPriority w:val="9"/>
    <w:qFormat/>
    <w:pPr>
      <w:pBdr/>
      <w:spacing/>
      <w:ind/>
    </w:pPr>
    <w:rPr>
      <w:rFonts w:ascii="Arial" w:hAnsi="Arial" w:eastAsia="Arial" w:cs="Arial"/>
      <w:i/>
      <w:iCs/>
      <w:color w:val="365f91" w:themeColor="accent1" w:themeShade="BF"/>
    </w:rPr>
  </w:style>
  <w:style w:type="character" w:styleId="774" w:customStyle="1">
    <w:name w:val="Заголовок 5 Знак"/>
    <w:basedOn w:val="769"/>
    <w:uiPriority w:val="9"/>
    <w:qFormat/>
    <w:pPr>
      <w:pBdr/>
      <w:spacing/>
      <w:ind/>
    </w:pPr>
    <w:rPr>
      <w:rFonts w:ascii="Arial" w:hAnsi="Arial" w:eastAsia="Arial" w:cs="Arial"/>
      <w:color w:val="365f91" w:themeColor="accent1" w:themeShade="BF"/>
    </w:rPr>
  </w:style>
  <w:style w:type="character" w:styleId="775" w:customStyle="1">
    <w:name w:val="Заголовок 6 Знак"/>
    <w:basedOn w:val="769"/>
    <w:uiPriority w:val="9"/>
    <w:qFormat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776" w:customStyle="1">
    <w:name w:val="Heading 7 Char"/>
    <w:basedOn w:val="769"/>
    <w:uiPriority w:val="9"/>
    <w:qFormat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777" w:customStyle="1">
    <w:name w:val="Заголовок 8 Знак"/>
    <w:basedOn w:val="769"/>
    <w:uiPriority w:val="9"/>
    <w:qFormat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778" w:customStyle="1">
    <w:name w:val="Заголовок 9 Знак"/>
    <w:basedOn w:val="769"/>
    <w:uiPriority w:val="9"/>
    <w:qFormat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779" w:customStyle="1">
    <w:name w:val="Title Char"/>
    <w:basedOn w:val="769"/>
    <w:uiPriority w:val="10"/>
    <w:qFormat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780" w:customStyle="1">
    <w:name w:val="Подзаголовок Знак"/>
    <w:basedOn w:val="769"/>
    <w:uiPriority w:val="11"/>
    <w:qFormat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781" w:customStyle="1">
    <w:name w:val="Цитата 2 Знак"/>
    <w:basedOn w:val="769"/>
    <w:link w:val="813"/>
    <w:uiPriority w:val="29"/>
    <w:qFormat/>
    <w:pPr>
      <w:pBdr/>
      <w:spacing/>
      <w:ind/>
    </w:pPr>
    <w:rPr>
      <w:i/>
      <w:iCs/>
      <w:color w:val="404040" w:themeColor="text1" w:themeTint="BF"/>
    </w:rPr>
  </w:style>
  <w:style w:type="character" w:styleId="782">
    <w:name w:val="Intense Emphasis"/>
    <w:basedOn w:val="769"/>
    <w:uiPriority w:val="21"/>
    <w:qFormat/>
    <w:pPr>
      <w:pBdr/>
      <w:spacing/>
      <w:ind/>
    </w:pPr>
    <w:rPr>
      <w:i/>
      <w:iCs/>
      <w:color w:val="365f91" w:themeColor="accent1" w:themeShade="BF"/>
    </w:rPr>
  </w:style>
  <w:style w:type="character" w:styleId="783" w:customStyle="1">
    <w:name w:val="Выделенная цитата Знак"/>
    <w:basedOn w:val="769"/>
    <w:link w:val="814"/>
    <w:uiPriority w:val="30"/>
    <w:qFormat/>
    <w:pPr>
      <w:pBdr/>
      <w:spacing/>
      <w:ind/>
    </w:pPr>
    <w:rPr>
      <w:i/>
      <w:iCs/>
      <w:color w:val="365f91" w:themeColor="accent1" w:themeShade="BF"/>
    </w:rPr>
  </w:style>
  <w:style w:type="character" w:styleId="784">
    <w:name w:val="Intense Reference"/>
    <w:basedOn w:val="769"/>
    <w:uiPriority w:val="32"/>
    <w:qFormat/>
    <w:pPr>
      <w:pBdr/>
      <w:spacing/>
      <w:ind/>
    </w:pPr>
    <w:rPr>
      <w:b/>
      <w:bCs/>
      <w:smallCaps/>
      <w:color w:val="365f91" w:themeColor="accent1" w:themeShade="BF"/>
      <w:spacing w:val="5"/>
    </w:rPr>
  </w:style>
  <w:style w:type="character" w:styleId="785">
    <w:name w:val="Subtle Emphasis"/>
    <w:basedOn w:val="76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786">
    <w:name w:val="Emphasis"/>
    <w:basedOn w:val="769"/>
    <w:uiPriority w:val="20"/>
    <w:qFormat/>
    <w:pPr>
      <w:pBdr/>
      <w:spacing/>
      <w:ind/>
    </w:pPr>
    <w:rPr>
      <w:i/>
      <w:iCs/>
    </w:rPr>
  </w:style>
  <w:style w:type="character" w:styleId="787">
    <w:name w:val="Strong"/>
    <w:basedOn w:val="769"/>
    <w:uiPriority w:val="22"/>
    <w:qFormat/>
    <w:pPr>
      <w:pBdr/>
      <w:spacing/>
      <w:ind/>
    </w:pPr>
    <w:rPr>
      <w:b/>
      <w:bCs/>
    </w:rPr>
  </w:style>
  <w:style w:type="character" w:styleId="788">
    <w:name w:val="Subtle Reference"/>
    <w:basedOn w:val="76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789">
    <w:name w:val="Book Title"/>
    <w:basedOn w:val="769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790" w:customStyle="1">
    <w:name w:val="Header Char"/>
    <w:basedOn w:val="769"/>
    <w:uiPriority w:val="99"/>
    <w:qFormat/>
    <w:pPr>
      <w:pBdr/>
      <w:spacing/>
      <w:ind/>
    </w:pPr>
  </w:style>
  <w:style w:type="character" w:styleId="791" w:customStyle="1">
    <w:name w:val="Footer Char"/>
    <w:basedOn w:val="769"/>
    <w:uiPriority w:val="99"/>
    <w:qFormat/>
    <w:pPr>
      <w:pBdr/>
      <w:spacing/>
      <w:ind/>
    </w:pPr>
  </w:style>
  <w:style w:type="character" w:styleId="792" w:customStyle="1">
    <w:name w:val="Текст сноски Знак"/>
    <w:basedOn w:val="769"/>
    <w:uiPriority w:val="99"/>
    <w:semiHidden/>
    <w:qFormat/>
    <w:pPr>
      <w:pBdr/>
      <w:spacing/>
      <w:ind/>
    </w:pPr>
    <w:rPr>
      <w:sz w:val="20"/>
      <w:szCs w:val="20"/>
    </w:rPr>
  </w:style>
  <w:style w:type="character" w:styleId="793" w:customStyle="1">
    <w:name w:val="Символ сноски"/>
    <w:uiPriority w:val="99"/>
    <w:semiHidden/>
    <w:unhideWhenUsed/>
    <w:qFormat/>
    <w:pPr>
      <w:pBdr/>
      <w:spacing/>
      <w:ind/>
    </w:pPr>
    <w:rPr>
      <w:vertAlign w:val="superscript"/>
    </w:rPr>
  </w:style>
  <w:style w:type="character" w:styleId="794">
    <w:name w:val="footnote reference"/>
    <w:pPr>
      <w:pBdr/>
      <w:spacing/>
      <w:ind/>
    </w:pPr>
    <w:rPr>
      <w:vertAlign w:val="superscript"/>
    </w:rPr>
  </w:style>
  <w:style w:type="character" w:styleId="795" w:customStyle="1">
    <w:name w:val="Текст концевой сноски Знак"/>
    <w:basedOn w:val="769"/>
    <w:uiPriority w:val="99"/>
    <w:semiHidden/>
    <w:qFormat/>
    <w:pPr>
      <w:pBdr/>
      <w:spacing/>
      <w:ind/>
    </w:pPr>
    <w:rPr>
      <w:sz w:val="20"/>
      <w:szCs w:val="20"/>
    </w:rPr>
  </w:style>
  <w:style w:type="character" w:styleId="796" w:customStyle="1">
    <w:name w:val="Символ концевой сноски"/>
    <w:uiPriority w:val="99"/>
    <w:semiHidden/>
    <w:unhideWhenUsed/>
    <w:qFormat/>
    <w:pPr>
      <w:pBdr/>
      <w:spacing/>
      <w:ind/>
    </w:pPr>
    <w:rPr>
      <w:vertAlign w:val="superscript"/>
    </w:rPr>
  </w:style>
  <w:style w:type="character" w:styleId="797">
    <w:name w:val="endnote reference"/>
    <w:pPr>
      <w:pBdr/>
      <w:spacing/>
      <w:ind/>
    </w:pPr>
    <w:rPr>
      <w:vertAlign w:val="superscript"/>
    </w:rPr>
  </w:style>
  <w:style w:type="character" w:styleId="798">
    <w:name w:val="FollowedHyperlink"/>
    <w:basedOn w:val="769"/>
    <w:uiPriority w:val="99"/>
    <w:semiHidden/>
    <w:unhideWhenUsed/>
    <w:pPr>
      <w:pBdr/>
      <w:spacing/>
      <w:ind/>
    </w:pPr>
    <w:rPr>
      <w:color w:val="800080" w:themeColor="followedHyperlink"/>
      <w:u w:val="single"/>
    </w:rPr>
  </w:style>
  <w:style w:type="character" w:styleId="799">
    <w:name w:val="page number"/>
    <w:basedOn w:val="769"/>
    <w:pPr>
      <w:pBdr/>
      <w:spacing/>
      <w:ind/>
    </w:pPr>
  </w:style>
  <w:style w:type="character" w:styleId="800" w:customStyle="1">
    <w:name w:val="Заголовок 7 Знак"/>
    <w:basedOn w:val="769"/>
    <w:qFormat/>
    <w:pPr>
      <w:pBdr/>
      <w:spacing/>
      <w:ind/>
    </w:pPr>
    <w:rPr>
      <w:rFonts w:ascii="Calibri" w:hAnsi="Calibri" w:eastAsia="Times New Roman" w:cs="Times New Roman"/>
      <w:sz w:val="24"/>
      <w:szCs w:val="24"/>
    </w:rPr>
  </w:style>
  <w:style w:type="character" w:styleId="801">
    <w:name w:val="annotation reference"/>
    <w:basedOn w:val="769"/>
    <w:semiHidden/>
    <w:qFormat/>
    <w:pPr>
      <w:pBdr/>
      <w:spacing/>
      <w:ind/>
    </w:pPr>
    <w:rPr>
      <w:sz w:val="16"/>
      <w:szCs w:val="16"/>
    </w:rPr>
  </w:style>
  <w:style w:type="character" w:styleId="802" w:customStyle="1">
    <w:name w:val="Название Знак"/>
    <w:basedOn w:val="769"/>
    <w:qFormat/>
    <w:pPr>
      <w:pBdr/>
      <w:spacing/>
      <w:ind/>
    </w:pPr>
    <w:rPr>
      <w:sz w:val="24"/>
    </w:rPr>
  </w:style>
  <w:style w:type="character" w:styleId="803" w:customStyle="1">
    <w:name w:val="Гипертекстовая ссылка"/>
    <w:basedOn w:val="769"/>
    <w:uiPriority w:val="99"/>
    <w:qFormat/>
    <w:pPr>
      <w:pBdr/>
      <w:spacing/>
      <w:ind/>
    </w:pPr>
    <w:rPr>
      <w:color w:val="008000"/>
    </w:rPr>
  </w:style>
  <w:style w:type="character" w:styleId="804" w:customStyle="1">
    <w:name w:val="Нижний колонтитул Знак"/>
    <w:basedOn w:val="769"/>
    <w:uiPriority w:val="99"/>
    <w:qFormat/>
    <w:pPr>
      <w:pBdr/>
      <w:spacing/>
      <w:ind/>
    </w:pPr>
    <w:rPr>
      <w:sz w:val="24"/>
      <w:szCs w:val="24"/>
    </w:rPr>
  </w:style>
  <w:style w:type="character" w:styleId="805">
    <w:name w:val="Hyperlink"/>
    <w:pPr>
      <w:pBdr/>
      <w:spacing/>
      <w:ind/>
    </w:pPr>
    <w:rPr>
      <w:color w:val="000080"/>
      <w:u w:val="single"/>
    </w:rPr>
  </w:style>
  <w:style w:type="paragraph" w:styleId="806" w:customStyle="1">
    <w:name w:val="Заголовок"/>
    <w:basedOn w:val="759"/>
    <w:next w:val="807"/>
    <w:qFormat/>
    <w:pPr>
      <w:keepNext w:val="true"/>
      <w:pBdr/>
      <w:spacing w:after="120" w:before="240"/>
      <w:ind/>
    </w:pPr>
    <w:rPr>
      <w:rFonts w:ascii="Liberation Sans" w:hAnsi="Liberation Sans" w:eastAsia="Tahoma" w:cs="Droid Sans"/>
      <w:sz w:val="28"/>
      <w:szCs w:val="28"/>
    </w:rPr>
  </w:style>
  <w:style w:type="paragraph" w:styleId="807">
    <w:name w:val="Body Text"/>
    <w:basedOn w:val="759"/>
    <w:pPr>
      <w:pBdr/>
      <w:spacing/>
      <w:ind w:right="-261"/>
      <w:jc w:val="both"/>
    </w:pPr>
  </w:style>
  <w:style w:type="paragraph" w:styleId="808">
    <w:name w:val="List"/>
    <w:basedOn w:val="807"/>
    <w:pPr>
      <w:pBdr/>
      <w:spacing/>
      <w:ind/>
    </w:pPr>
    <w:rPr>
      <w:rFonts w:cs="Droid Sans"/>
    </w:rPr>
  </w:style>
  <w:style w:type="paragraph" w:styleId="809">
    <w:name w:val="Caption"/>
    <w:basedOn w:val="759"/>
    <w:qFormat/>
    <w:pPr>
      <w:suppressLineNumbers w:val="true"/>
      <w:pBdr/>
      <w:spacing w:after="120" w:before="120"/>
      <w:ind/>
    </w:pPr>
    <w:rPr>
      <w:rFonts w:cs="Droid Sans"/>
      <w:i/>
      <w:iCs/>
    </w:rPr>
  </w:style>
  <w:style w:type="paragraph" w:styleId="810">
    <w:name w:val="Указатель"/>
    <w:basedOn w:val="759"/>
    <w:qFormat/>
    <w:pPr>
      <w:suppressLineNumbers w:val="true"/>
      <w:pBdr/>
      <w:spacing/>
      <w:ind/>
    </w:pPr>
    <w:rPr>
      <w:rFonts w:cs="Droid Sans"/>
    </w:rPr>
  </w:style>
  <w:style w:type="paragraph" w:styleId="811">
    <w:name w:val="index heading"/>
    <w:basedOn w:val="806"/>
    <w:pPr>
      <w:pBdr/>
      <w:spacing/>
      <w:ind/>
    </w:pPr>
  </w:style>
  <w:style w:type="paragraph" w:styleId="812">
    <w:name w:val="Subtitle"/>
    <w:basedOn w:val="759"/>
    <w:next w:val="759"/>
    <w:link w:val="780"/>
    <w:uiPriority w:val="11"/>
    <w:qFormat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13">
    <w:name w:val="Quote"/>
    <w:basedOn w:val="759"/>
    <w:next w:val="759"/>
    <w:link w:val="781"/>
    <w:uiPriority w:val="29"/>
    <w:qFormat/>
    <w:pPr>
      <w:pBdr/>
      <w:spacing w:after="0" w:before="160"/>
      <w:ind/>
      <w:jc w:val="center"/>
    </w:pPr>
    <w:rPr>
      <w:i/>
      <w:iCs/>
      <w:color w:val="404040" w:themeColor="text1" w:themeTint="BF"/>
    </w:rPr>
  </w:style>
  <w:style w:type="paragraph" w:styleId="814">
    <w:name w:val="Intense Quote"/>
    <w:basedOn w:val="759"/>
    <w:next w:val="759"/>
    <w:link w:val="783"/>
    <w:uiPriority w:val="30"/>
    <w:qFormat/>
    <w:pPr>
      <w:pBdr>
        <w:top w:val="single" w:color="365f91" w:themeColor="accent1" w:themeShade="BF" w:sz="4" w:space="10"/>
        <w:bottom w:val="single" w:color="365f91" w:themeColor="accent1" w:themeShade="BF" w:sz="4" w:space="10"/>
      </w:pBdr>
      <w:spacing w:after="360" w:before="360"/>
      <w:ind w:right="864" w:left="864"/>
      <w:jc w:val="center"/>
    </w:pPr>
    <w:rPr>
      <w:i/>
      <w:iCs/>
      <w:color w:val="365f91" w:themeColor="accent1" w:themeShade="BF"/>
    </w:rPr>
  </w:style>
  <w:style w:type="paragraph" w:styleId="815">
    <w:name w:val="footnote text"/>
    <w:basedOn w:val="759"/>
    <w:link w:val="792"/>
    <w:uiPriority w:val="99"/>
    <w:semiHidden/>
    <w:unhideWhenUsed/>
    <w:pPr>
      <w:pBdr/>
      <w:spacing/>
      <w:ind/>
    </w:pPr>
    <w:rPr>
      <w:sz w:val="20"/>
      <w:szCs w:val="20"/>
    </w:rPr>
  </w:style>
  <w:style w:type="paragraph" w:styleId="816">
    <w:name w:val="endnote text"/>
    <w:basedOn w:val="759"/>
    <w:link w:val="795"/>
    <w:uiPriority w:val="99"/>
    <w:semiHidden/>
    <w:unhideWhenUsed/>
    <w:pPr>
      <w:pBdr/>
      <w:spacing/>
      <w:ind/>
    </w:pPr>
    <w:rPr>
      <w:sz w:val="20"/>
      <w:szCs w:val="20"/>
    </w:rPr>
  </w:style>
  <w:style w:type="paragraph" w:styleId="817">
    <w:name w:val="toc 1"/>
    <w:basedOn w:val="759"/>
    <w:next w:val="759"/>
    <w:uiPriority w:val="39"/>
    <w:unhideWhenUsed/>
    <w:pPr>
      <w:pBdr/>
      <w:spacing w:after="100" w:before="0"/>
      <w:ind/>
    </w:pPr>
  </w:style>
  <w:style w:type="paragraph" w:styleId="818">
    <w:name w:val="toc 2"/>
    <w:basedOn w:val="759"/>
    <w:next w:val="759"/>
    <w:uiPriority w:val="39"/>
    <w:unhideWhenUsed/>
    <w:pPr>
      <w:pBdr/>
      <w:spacing w:after="100" w:before="0"/>
      <w:ind w:left="220"/>
    </w:pPr>
  </w:style>
  <w:style w:type="paragraph" w:styleId="819">
    <w:name w:val="toc 3"/>
    <w:basedOn w:val="759"/>
    <w:next w:val="759"/>
    <w:uiPriority w:val="39"/>
    <w:unhideWhenUsed/>
    <w:pPr>
      <w:pBdr/>
      <w:spacing w:after="100" w:before="0"/>
      <w:ind w:left="440"/>
    </w:pPr>
  </w:style>
  <w:style w:type="paragraph" w:styleId="820">
    <w:name w:val="toc 4"/>
    <w:basedOn w:val="759"/>
    <w:next w:val="759"/>
    <w:uiPriority w:val="39"/>
    <w:unhideWhenUsed/>
    <w:pPr>
      <w:pBdr/>
      <w:spacing w:after="100" w:before="0"/>
      <w:ind w:left="660"/>
    </w:pPr>
  </w:style>
  <w:style w:type="paragraph" w:styleId="821">
    <w:name w:val="toc 5"/>
    <w:basedOn w:val="759"/>
    <w:next w:val="759"/>
    <w:uiPriority w:val="39"/>
    <w:unhideWhenUsed/>
    <w:pPr>
      <w:pBdr/>
      <w:spacing w:after="100" w:before="0"/>
      <w:ind w:left="880"/>
    </w:pPr>
  </w:style>
  <w:style w:type="paragraph" w:styleId="822">
    <w:name w:val="toc 6"/>
    <w:basedOn w:val="759"/>
    <w:next w:val="759"/>
    <w:uiPriority w:val="39"/>
    <w:unhideWhenUsed/>
    <w:pPr>
      <w:pBdr/>
      <w:spacing w:after="100" w:before="0"/>
      <w:ind w:left="1100"/>
    </w:pPr>
  </w:style>
  <w:style w:type="paragraph" w:styleId="823">
    <w:name w:val="toc 7"/>
    <w:basedOn w:val="759"/>
    <w:next w:val="759"/>
    <w:uiPriority w:val="39"/>
    <w:unhideWhenUsed/>
    <w:pPr>
      <w:pBdr/>
      <w:spacing w:after="100" w:before="0"/>
      <w:ind w:left="1320"/>
    </w:pPr>
  </w:style>
  <w:style w:type="paragraph" w:styleId="824">
    <w:name w:val="toc 8"/>
    <w:basedOn w:val="759"/>
    <w:next w:val="759"/>
    <w:uiPriority w:val="39"/>
    <w:unhideWhenUsed/>
    <w:pPr>
      <w:pBdr/>
      <w:spacing w:after="100" w:before="0"/>
      <w:ind w:left="1540"/>
    </w:pPr>
  </w:style>
  <w:style w:type="paragraph" w:styleId="825">
    <w:name w:val="toc 9"/>
    <w:basedOn w:val="759"/>
    <w:next w:val="759"/>
    <w:uiPriority w:val="39"/>
    <w:unhideWhenUsed/>
    <w:pPr>
      <w:pBdr/>
      <w:spacing w:after="100" w:before="0"/>
      <w:ind w:left="1760"/>
    </w:pPr>
  </w:style>
  <w:style w:type="paragraph" w:styleId="826">
    <w:name w:val="TOC Heading"/>
    <w:uiPriority w:val="39"/>
    <w:unhideWhenUsed/>
    <w:qFormat/>
    <w:pPr>
      <w:widowControl w:val="true"/>
      <w:pBdr/>
      <w:bidi w:val="false"/>
      <w:spacing w:after="0" w:before="0"/>
      <w:ind/>
      <w:jc w:val="left"/>
    </w:pPr>
    <w:rPr>
      <w:rFonts w:ascii="Times New Roman" w:hAnsi="Times New Roman" w:eastAsia="Tahoma" w:cs="Droid Sans"/>
      <w:color w:val="auto"/>
      <w:sz w:val="20"/>
      <w:szCs w:val="20"/>
      <w:lang w:val="ru-RU" w:eastAsia="ru-RU" w:bidi="ar-SA"/>
    </w:rPr>
  </w:style>
  <w:style w:type="paragraph" w:styleId="827">
    <w:name w:val="table of figures"/>
    <w:basedOn w:val="759"/>
    <w:next w:val="759"/>
    <w:uiPriority w:val="99"/>
    <w:unhideWhenUsed/>
    <w:pPr>
      <w:pBdr/>
      <w:spacing/>
      <w:ind/>
    </w:pPr>
  </w:style>
  <w:style w:type="paragraph" w:styleId="828">
    <w:name w:val="Body Text Indent"/>
    <w:basedOn w:val="759"/>
    <w:pPr>
      <w:pBdr/>
      <w:spacing/>
      <w:ind w:left="360"/>
      <w:jc w:val="center"/>
    </w:pPr>
    <w:rPr>
      <w:b/>
      <w:bCs/>
    </w:rPr>
  </w:style>
  <w:style w:type="paragraph" w:styleId="829">
    <w:name w:val="Body Text Indent 2"/>
    <w:basedOn w:val="759"/>
    <w:qFormat/>
    <w:pPr>
      <w:pBdr/>
      <w:spacing/>
      <w:ind w:left="360"/>
    </w:pPr>
  </w:style>
  <w:style w:type="paragraph" w:styleId="830">
    <w:name w:val="Body Text Indent 3"/>
    <w:basedOn w:val="759"/>
    <w:qFormat/>
    <w:pPr>
      <w:pBdr/>
      <w:spacing/>
      <w:ind w:left="360"/>
    </w:pPr>
    <w:rPr>
      <w:b/>
      <w:bCs/>
    </w:rPr>
  </w:style>
  <w:style w:type="paragraph" w:styleId="831">
    <w:name w:val="Body Text 2"/>
    <w:basedOn w:val="759"/>
    <w:qFormat/>
    <w:pPr>
      <w:pBdr/>
      <w:spacing/>
      <w:ind w:right="-81"/>
      <w:jc w:val="both"/>
    </w:pPr>
  </w:style>
  <w:style w:type="paragraph" w:styleId="832">
    <w:name w:val="Body Text 3"/>
    <w:basedOn w:val="759"/>
    <w:qFormat/>
    <w:pPr>
      <w:pBdr/>
      <w:spacing/>
      <w:ind/>
      <w:jc w:val="both"/>
    </w:pPr>
  </w:style>
  <w:style w:type="paragraph" w:styleId="833" w:customStyle="1">
    <w:name w:val="Header and Footer"/>
    <w:basedOn w:val="759"/>
    <w:qFormat/>
    <w:pPr>
      <w:pBdr/>
      <w:spacing/>
      <w:ind/>
    </w:pPr>
  </w:style>
  <w:style w:type="paragraph" w:styleId="834">
    <w:name w:val="Footer"/>
    <w:basedOn w:val="759"/>
    <w:link w:val="804"/>
    <w:uiPriority w:val="99"/>
    <w:pPr>
      <w:pBdr/>
      <w:tabs>
        <w:tab w:val="clear" w:leader="none" w:pos="708"/>
        <w:tab w:val="center" w:leader="none" w:pos="4677"/>
        <w:tab w:val="right" w:leader="none" w:pos="9355"/>
      </w:tabs>
      <w:spacing/>
      <w:ind/>
    </w:pPr>
  </w:style>
  <w:style w:type="paragraph" w:styleId="835">
    <w:name w:val="Header"/>
    <w:basedOn w:val="759"/>
    <w:pPr>
      <w:pBdr/>
      <w:tabs>
        <w:tab w:val="clear" w:leader="none" w:pos="708"/>
        <w:tab w:val="center" w:leader="none" w:pos="4677"/>
        <w:tab w:val="right" w:leader="none" w:pos="9355"/>
      </w:tabs>
      <w:spacing/>
      <w:ind/>
    </w:pPr>
  </w:style>
  <w:style w:type="paragraph" w:styleId="836">
    <w:name w:val="Balloon Text"/>
    <w:basedOn w:val="759"/>
    <w:semiHidden/>
    <w:qFormat/>
    <w:pPr>
      <w:pBdr/>
      <w:spacing/>
      <w:ind/>
    </w:pPr>
    <w:rPr>
      <w:rFonts w:ascii="Tahoma" w:hAnsi="Tahoma" w:cs="Tahoma"/>
      <w:sz w:val="16"/>
      <w:szCs w:val="16"/>
    </w:rPr>
  </w:style>
  <w:style w:type="paragraph" w:styleId="837">
    <w:name w:val="Title"/>
    <w:basedOn w:val="759"/>
    <w:link w:val="802"/>
    <w:qFormat/>
    <w:pPr>
      <w:pBdr/>
      <w:spacing/>
      <w:ind/>
      <w:jc w:val="center"/>
      <w:outlineLvl w:val="0"/>
    </w:pPr>
    <w:rPr>
      <w:szCs w:val="20"/>
    </w:rPr>
  </w:style>
  <w:style w:type="paragraph" w:styleId="838">
    <w:name w:val="annotation text"/>
    <w:basedOn w:val="759"/>
    <w:semiHidden/>
    <w:pPr>
      <w:pBdr/>
      <w:spacing/>
      <w:ind/>
    </w:pPr>
    <w:rPr>
      <w:sz w:val="20"/>
      <w:szCs w:val="20"/>
    </w:rPr>
  </w:style>
  <w:style w:type="paragraph" w:styleId="839">
    <w:name w:val="annotation subject"/>
    <w:basedOn w:val="838"/>
    <w:next w:val="838"/>
    <w:semiHidden/>
    <w:qFormat/>
    <w:pPr>
      <w:pBdr/>
      <w:spacing/>
      <w:ind/>
    </w:pPr>
    <w:rPr>
      <w:b/>
      <w:bCs/>
    </w:rPr>
  </w:style>
  <w:style w:type="paragraph" w:styleId="840" w:customStyle="1">
    <w:name w:val="ConsNormal"/>
    <w:qFormat/>
    <w:pPr>
      <w:widowControl w:val="false"/>
      <w:pBdr/>
      <w:bidi w:val="false"/>
      <w:spacing w:after="0" w:before="60"/>
      <w:ind/>
      <w:jc w:val="left"/>
    </w:pPr>
    <w:rPr>
      <w:rFonts w:ascii="Times New Roman" w:hAnsi="Times New Roman" w:eastAsia="Times New Roman" w:cs="Times New Roman"/>
      <w:color w:val="auto"/>
      <w:sz w:val="18"/>
      <w:szCs w:val="18"/>
      <w:lang w:val="ru-RU" w:eastAsia="ru-RU" w:bidi="ar-SA"/>
    </w:rPr>
  </w:style>
  <w:style w:type="paragraph" w:styleId="841" w:customStyle="1">
    <w:name w:val="Нормальный (таблица)"/>
    <w:basedOn w:val="759"/>
    <w:next w:val="759"/>
    <w:uiPriority w:val="99"/>
    <w:qFormat/>
    <w:pPr>
      <w:pBdr/>
      <w:spacing/>
      <w:ind/>
      <w:jc w:val="both"/>
    </w:pPr>
    <w:rPr>
      <w:rFonts w:ascii="Arial" w:hAnsi="Arial" w:cs="Arial"/>
    </w:rPr>
  </w:style>
  <w:style w:type="paragraph" w:styleId="842">
    <w:name w:val="Revision"/>
    <w:uiPriority w:val="99"/>
    <w:semiHidden/>
    <w:qFormat/>
    <w:pPr>
      <w:widowControl w:val="true"/>
      <w:pBdr/>
      <w:bidi w:val="false"/>
      <w:spacing w:after="0" w:before="0"/>
      <w:ind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paragraph" w:styleId="843">
    <w:name w:val="List Paragraph"/>
    <w:basedOn w:val="759"/>
    <w:uiPriority w:val="34"/>
    <w:qFormat/>
    <w:pPr>
      <w:pBdr/>
      <w:spacing w:after="200" w:before="0" w:line="276" w:lineRule="auto"/>
      <w:ind w:left="720"/>
      <w:contextualSpacing w:val="true"/>
    </w:pPr>
    <w:rPr>
      <w:rFonts w:ascii="Calibri" w:hAnsi="Calibri"/>
      <w:sz w:val="22"/>
      <w:szCs w:val="22"/>
    </w:rPr>
  </w:style>
  <w:style w:type="paragraph" w:styleId="844">
    <w:name w:val="No Spacing"/>
    <w:uiPriority w:val="1"/>
    <w:qFormat/>
    <w:pPr>
      <w:widowControl w:val="true"/>
      <w:pBdr/>
      <w:bidi w:val="false"/>
      <w:spacing w:after="0" w:before="0"/>
      <w:ind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paragraph" w:styleId="845" w:customStyle="1">
    <w:name w:val="Содержимое врезки"/>
    <w:basedOn w:val="759"/>
    <w:qFormat/>
    <w:pPr>
      <w:pBdr/>
      <w:spacing/>
      <w:ind/>
    </w:pPr>
  </w:style>
  <w:style w:type="numbering" w:styleId="846" w:customStyle="1">
    <w:name w:val="Без списка"/>
    <w:uiPriority w:val="99"/>
    <w:semiHidden/>
    <w:unhideWhenUsed/>
    <w:qFormat/>
    <w:pPr>
      <w:pBdr/>
      <w:spacing/>
      <w:ind/>
    </w:pPr>
  </w:style>
  <w:style w:type="table" w:styleId="847" w:default="1">
    <w:name w:val="Normal Table"/>
    <w:uiPriority w:val="99"/>
    <w:semiHidden/>
    <w:unhideWhenUsed/>
    <w:pPr>
      <w:pBdr/>
      <w:spacing/>
      <w:ind/>
    </w:pPr>
    <w:tblPr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 w:customStyle="1">
    <w:name w:val="Table Grid Light"/>
    <w:basedOn w:val="847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Plain Table 1"/>
    <w:basedOn w:val="847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Plain Table 2"/>
    <w:basedOn w:val="847"/>
    <w:uiPriority w:val="59"/>
    <w:pPr>
      <w:pBdr/>
      <w:spacing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Plain Table 3"/>
    <w:basedOn w:val="84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Plain Table 4"/>
    <w:basedOn w:val="84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Plain Table 5"/>
    <w:basedOn w:val="84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Grid Table 1 Light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 w:customStyle="1">
    <w:name w:val="Grid Table 1 Light - Accent 1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 w:customStyle="1">
    <w:name w:val="Grid Table 1 Light - Accent 2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c0504d" w:themeColor="accent2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 w:customStyle="1">
    <w:name w:val="Grid Table 1 Light - Accent 3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9bbb59" w:themeColor="accent3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 w:customStyle="1">
    <w:name w:val="Grid Table 1 Light - Accent 4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8064a2" w:themeColor="accent4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 w:customStyle="1">
    <w:name w:val="Grid Table 1 Light - Accent 5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Grid Table 1 Light - Accent 6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Grid Table 2"/>
    <w:basedOn w:val="847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 w:customStyle="1">
    <w:name w:val="Grid Table 2 - Accent 1"/>
    <w:basedOn w:val="847"/>
    <w:uiPriority w:val="99"/>
    <w:pPr>
      <w:pBdr/>
      <w:spacing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ae5f1" w:themeFill="accen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f81bd" w:themeColor="accent1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Grid Table 2 - Accent 2"/>
    <w:basedOn w:val="847"/>
    <w:uiPriority w:val="99"/>
    <w:pPr>
      <w:pBdr/>
      <w:spacing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2dcdc" w:themeFill="accent2" w:themeFillTint="32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c0504d" w:themeColor="accent2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 w:customStyle="1">
    <w:name w:val="Grid Table 2 - Accent 3"/>
    <w:basedOn w:val="847"/>
    <w:uiPriority w:val="99"/>
    <w:pPr>
      <w:pBdr/>
      <w:spacing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af1dc" w:themeFill="accent3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bbb59" w:themeColor="accent3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 w:customStyle="1">
    <w:name w:val="Grid Table 2 - Accent 4"/>
    <w:basedOn w:val="847"/>
    <w:uiPriority w:val="99"/>
    <w:pPr>
      <w:pBdr/>
      <w:spacing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8064a2" w:themeColor="accent4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 w:customStyle="1">
    <w:name w:val="Grid Table 2 - Accent 5"/>
    <w:basedOn w:val="847"/>
    <w:uiPriority w:val="99"/>
    <w:pPr>
      <w:pBdr/>
      <w:spacing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Grid Table 2 - Accent 6"/>
    <w:basedOn w:val="847"/>
    <w:uiPriority w:val="99"/>
    <w:pPr>
      <w:pBdr/>
      <w:spacing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de9d8" w:themeFill="accent6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Grid Table 3"/>
    <w:basedOn w:val="847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 w:customStyle="1">
    <w:name w:val="Grid Table 3 - Accent 1"/>
    <w:basedOn w:val="847"/>
    <w:uiPriority w:val="99"/>
    <w:pPr>
      <w:pBdr/>
      <w:spacing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ae5f1" w:themeFill="accen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Grid Table 3 - Accent 2"/>
    <w:basedOn w:val="847"/>
    <w:uiPriority w:val="99"/>
    <w:pPr>
      <w:pBdr/>
      <w:spacing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2dcdc" w:themeFill="accent2" w:themeFillTint="32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 w:customStyle="1">
    <w:name w:val="Grid Table 3 - Accent 3"/>
    <w:basedOn w:val="847"/>
    <w:uiPriority w:val="99"/>
    <w:pPr>
      <w:pBdr/>
      <w:spacing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af1dc" w:themeFill="accent3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 w:customStyle="1">
    <w:name w:val="Grid Table 3 - Accent 4"/>
    <w:basedOn w:val="847"/>
    <w:uiPriority w:val="99"/>
    <w:pPr>
      <w:pBdr/>
      <w:spacing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 w:customStyle="1">
    <w:name w:val="Grid Table 3 - Accent 5"/>
    <w:basedOn w:val="847"/>
    <w:uiPriority w:val="99"/>
    <w:pPr>
      <w:pBdr/>
      <w:spacing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 w:customStyle="1">
    <w:name w:val="Grid Table 3 - Accent 6"/>
    <w:basedOn w:val="847"/>
    <w:uiPriority w:val="99"/>
    <w:pPr>
      <w:pBdr/>
      <w:spacing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de9d8" w:themeFill="accent6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Grid Table 4"/>
    <w:basedOn w:val="847"/>
    <w:uiPriority w:val="5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 w:customStyle="1">
    <w:name w:val="Grid Table 4 - Accent 1"/>
    <w:basedOn w:val="847"/>
    <w:uiPriority w:val="59"/>
    <w:pPr>
      <w:pBdr/>
      <w:spacing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ce6f2" w:themeFill="accent1" w:themeFillTint="32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5d8ac2" w:themeFill="accent1" w:themeFillTint="EA"/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 w:customStyle="1">
    <w:name w:val="Grid Table 4 - Accent 2"/>
    <w:basedOn w:val="847"/>
    <w:uiPriority w:val="59"/>
    <w:pPr>
      <w:pBdr/>
      <w:spacing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2dcdc" w:themeFill="accent2" w:themeFillTint="32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d99695" w:themeFill="accent2" w:themeFillTint="97"/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 w:customStyle="1">
    <w:name w:val="Grid Table 4 - Accent 3"/>
    <w:basedOn w:val="847"/>
    <w:uiPriority w:val="59"/>
    <w:pPr>
      <w:pBdr/>
      <w:spacing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af1dc" w:themeFill="accent3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9abb59" w:themeFill="accent3" w:themeFillTint="FE"/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 w:customStyle="1">
    <w:name w:val="Grid Table 4 - Accent 4"/>
    <w:basedOn w:val="847"/>
    <w:uiPriority w:val="59"/>
    <w:pPr>
      <w:pBdr/>
      <w:spacing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b2a1c6" w:themeFill="accent4" w:themeFillTint="9A"/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 w:customStyle="1">
    <w:name w:val="Grid Table 4 - Accent 5"/>
    <w:basedOn w:val="847"/>
    <w:uiPriority w:val="59"/>
    <w:pPr>
      <w:pBdr/>
      <w:spacing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 w:customStyle="1">
    <w:name w:val="Grid Table 4 - Accent 6"/>
    <w:basedOn w:val="847"/>
    <w:uiPriority w:val="59"/>
    <w:pPr>
      <w:pBdr/>
      <w:spacing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de9d8" w:themeFill="accent6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Grid Table 5 Dark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 w:customStyle="1">
    <w:name w:val="Grid Table 5 Dark- Accent 1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aec4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aec4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f81bd" w:themeFill="accent1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f81bd" w:themeFill="accent1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f81bd" w:themeFill="accent1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f81bd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 w:customStyle="1">
    <w:name w:val="Grid Table 5 Dark - Accent 2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e2ae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2ae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c0504d" w:themeFill="accent2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c0504d" w:themeFill="accent2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c0504d" w:themeFill="accent2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c0504d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 w:customStyle="1">
    <w:name w:val="Grid Table 5 Dark - Accent 3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d0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0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9bbb59" w:themeFill="accent3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9bbb59" w:themeFill="accent3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9bbb59" w:themeFill="accent3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9bbb59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 w:customStyle="1">
    <w:name w:val="Grid Table 5 Dark- Accent 4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8064a2" w:themeFill="accent4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8064a2" w:themeFill="accent4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8064a2" w:themeFill="accent4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8064a2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 w:customStyle="1">
    <w:name w:val="Grid Table 5 Dark - Accent 5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acd8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acd8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 w:customStyle="1">
    <w:name w:val="Grid Table 5 Dark - Accent 6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bce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bce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>
    <w:name w:val="Grid Table 6 Colorful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2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 w:customStyle="1">
    <w:name w:val="Grid Table 6 Colorful - Accent 1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ae5f1" w:themeFill="accent1" w:themeFillTint="34"/>
        <w:tcBorders/>
      </w:tcPr>
    </w:tblStylePr>
    <w:tblStylePr w:type="band2Horz">
      <w:rPr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 w:customStyle="1">
    <w:name w:val="Grid Table 6 Colorful - Accent 2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2dcdc" w:themeFill="accent2" w:themeFillTint="32"/>
        <w:tcBorders/>
      </w:tcPr>
    </w:tblStylePr>
    <w:tblStylePr w:type="band2Horz">
      <w:rPr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Grid Table 6 Colorful - Accent 3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af1dc" w:themeFill="accent3" w:themeFillTint="34"/>
        <w:tcBorders/>
      </w:tcPr>
    </w:tblStylePr>
    <w:tblStylePr w:type="band2Horz">
      <w:rPr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 w:customStyle="1">
    <w:name w:val="Grid Table 6 Colorful - Accent 4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2Horz">
      <w:rPr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 w:customStyle="1">
    <w:name w:val="Grid Table 6 Colorful - Accent 5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2Horz">
      <w:rPr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 w:customStyle="1">
    <w:name w:val="Grid Table 6 Colorful - Accent 6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de9d8" w:themeFill="accent6" w:themeFillTint="34"/>
        <w:tcBorders/>
      </w:tcPr>
    </w:tblStylePr>
    <w:tblStylePr w:type="band2Horz">
      <w:rPr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>
    <w:name w:val="Grid Table 7 Colorful"/>
    <w:basedOn w:val="847"/>
    <w:uiPriority w:val="99"/>
    <w:pPr>
      <w:pBdr/>
      <w:spacing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000000" w:themeColor="text1" w:sz="4" w:space="0"/>
          <w:right w:val="none" w:color="000000" w:sz="0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000000" w:themeColor="tex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tex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 w:customStyle="1">
    <w:name w:val="Grid Table 7 Colorful - Accent 1"/>
    <w:basedOn w:val="847"/>
    <w:uiPriority w:val="99"/>
    <w:pPr>
      <w:pBdr/>
      <w:spacing/>
      <w:ind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ae5f1" w:themeFill="accent1" w:themeFillTint="34"/>
        <w:tcBorders/>
      </w:tcPr>
    </w:tblStylePr>
    <w:tblStylePr w:type="band2Horz">
      <w:rPr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 w:customStyle="1">
    <w:name w:val="Grid Table 7 Colorful - Accent 2"/>
    <w:basedOn w:val="847"/>
    <w:uiPriority w:val="99"/>
    <w:pPr>
      <w:pBdr/>
      <w:spacing/>
      <w:ind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2dcdc" w:themeFill="accent2" w:themeFillTint="32"/>
        <w:tcBorders/>
      </w:tcPr>
    </w:tblStylePr>
    <w:tblStylePr w:type="band2Horz">
      <w:rPr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0504d" w:themeColor="accent2" w:sz="4" w:space="0"/>
        </w:tcBorders>
      </w:tcPr>
    </w:tblStylePr>
    <w:tblStylePr w:type="firstRow">
      <w:rPr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c0504d" w:themeColor="accent2" w:sz="4" w:space="0"/>
          <w:right w:val="none" w:color="000000" w:sz="0" w:space="0"/>
        </w:tcBorders>
      </w:tcPr>
    </w:tblStylePr>
    <w:tblStylePr w:type="lastCol">
      <w:rPr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c0504d" w:themeColor="accent2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c0504d" w:themeColor="accent2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 w:customStyle="1">
    <w:name w:val="Grid Table 7 Colorful - Accent 3"/>
    <w:basedOn w:val="847"/>
    <w:uiPriority w:val="99"/>
    <w:pPr>
      <w:pBdr/>
      <w:spacing/>
      <w:ind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af1dc" w:themeFill="accent3" w:themeFillTint="34"/>
        <w:tcBorders/>
      </w:tcPr>
    </w:tblStylePr>
    <w:tblStylePr w:type="band2Horz">
      <w:rPr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bb59" w:themeColor="accent3" w:sz="4" w:space="0"/>
        </w:tcBorders>
      </w:tcPr>
    </w:tblStylePr>
    <w:tblStylePr w:type="firstRow">
      <w:rPr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9bbb59" w:themeColor="accent3" w:sz="4" w:space="0"/>
          <w:right w:val="none" w:color="000000" w:sz="0" w:space="0"/>
        </w:tcBorders>
      </w:tcPr>
    </w:tblStylePr>
    <w:tblStylePr w:type="lastCol">
      <w:rPr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9bbb59" w:themeColor="accent3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9bbb59" w:themeColor="accent3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 w:customStyle="1">
    <w:name w:val="Grid Table 7 Colorful - Accent 4"/>
    <w:basedOn w:val="847"/>
    <w:uiPriority w:val="99"/>
    <w:pPr>
      <w:pBdr/>
      <w:spacing/>
      <w:ind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2Horz">
      <w:rPr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064a2" w:themeColor="accent4" w:sz="4" w:space="0"/>
        </w:tcBorders>
      </w:tcPr>
    </w:tblStylePr>
    <w:tblStylePr w:type="firstRow">
      <w:rPr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8064a2" w:themeColor="accent4" w:sz="4" w:space="0"/>
          <w:right w:val="none" w:color="000000" w:sz="0" w:space="0"/>
        </w:tcBorders>
      </w:tcPr>
    </w:tblStylePr>
    <w:tblStylePr w:type="lastCol">
      <w:rPr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8064a2" w:themeColor="accent4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8064a2" w:themeColor="accent4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 w:customStyle="1">
    <w:name w:val="Grid Table 7 Colorful - Accent 5"/>
    <w:basedOn w:val="847"/>
    <w:uiPriority w:val="99"/>
    <w:pPr>
      <w:pBdr/>
      <w:spacing/>
      <w:ind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2Horz">
      <w:rPr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bacc6" w:themeColor="accent5" w:sz="4" w:space="0"/>
        </w:tcBorders>
      </w:tcPr>
    </w:tblStylePr>
    <w:tblStylePr w:type="firstRow">
      <w:rPr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4bacc6" w:themeColor="accent5" w:sz="4" w:space="0"/>
          <w:right w:val="none" w:color="000000" w:sz="0" w:space="0"/>
        </w:tcBorders>
      </w:tcPr>
    </w:tblStylePr>
    <w:tblStylePr w:type="lastCol">
      <w:rPr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4bacc6" w:themeColor="accent5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4bacc6" w:themeColor="accent5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 w:customStyle="1">
    <w:name w:val="Grid Table 7 Colorful - Accent 6"/>
    <w:basedOn w:val="847"/>
    <w:uiPriority w:val="99"/>
    <w:pPr>
      <w:pBdr/>
      <w:spacing/>
      <w:ind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de9d8" w:themeFill="accent6" w:themeFillTint="34"/>
        <w:tcBorders/>
      </w:tcPr>
    </w:tblStylePr>
    <w:tblStylePr w:type="band2Horz">
      <w:rPr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79646" w:themeColor="accent6" w:sz="4" w:space="0"/>
        </w:tcBorders>
      </w:tcPr>
    </w:tblStylePr>
    <w:tblStylePr w:type="firstRow">
      <w:rPr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f79646" w:themeColor="accent6" w:sz="4" w:space="0"/>
          <w:right w:val="none" w:color="000000" w:sz="0" w:space="0"/>
        </w:tcBorders>
      </w:tcPr>
    </w:tblStylePr>
    <w:tblStylePr w:type="lastCol">
      <w:rPr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79646" w:themeColor="accent6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f79646" w:themeColor="accent6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>
    <w:name w:val="List Table 1 Light"/>
    <w:basedOn w:val="84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 w:customStyle="1">
    <w:name w:val="List Table 1 Light - Accent 1"/>
    <w:basedOn w:val="84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 w:customStyle="1">
    <w:name w:val="List Table 1 Light - Accent 2"/>
    <w:basedOn w:val="84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 w:customStyle="1">
    <w:name w:val="List Table 1 Light - Accent 3"/>
    <w:basedOn w:val="84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 w:customStyle="1">
    <w:name w:val="List Table 1 Light - Accent 4"/>
    <w:basedOn w:val="84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 w:customStyle="1">
    <w:name w:val="List Table 1 Light - Accent 5"/>
    <w:basedOn w:val="84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 w:customStyle="1">
    <w:name w:val="List Table 1 Light - Accent 6"/>
    <w:basedOn w:val="84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>
    <w:name w:val="List Table 2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 w:customStyle="1">
    <w:name w:val="List Table 2 - Accent 1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2dfee" w:themeFill="accent1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 w:customStyle="1">
    <w:name w:val="List Table 2 - Accent 2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fd2d2" w:themeFill="accent2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 w:customStyle="1">
    <w:name w:val="List Table 2 - Accent 3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5eed5" w:themeFill="accent3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 w:customStyle="1">
    <w:name w:val="List Table 2 - Accent 4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fd8e7" w:themeFill="accent4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 w:customStyle="1">
    <w:name w:val="List Table 2 - Accent 5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1eaf0" w:themeFill="accent5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 w:customStyle="1">
    <w:name w:val="List Table 2 - Accent 6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de4d0" w:themeFill="accent6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>
    <w:name w:val="List Table 3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 w:customStyle="1">
    <w:name w:val="List Table 3 - Accent 1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f81bd" w:themeFill="accent1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 w:customStyle="1">
    <w:name w:val="List Table 3 - Accent 2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d99695" w:themeFill="accent2" w:themeFillTint="97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 w:customStyle="1">
    <w:name w:val="List Table 3 - Accent 3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c3d69b" w:themeFill="accent3" w:themeFillTint="98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 w:customStyle="1">
    <w:name w:val="List Table 3 - Accent 4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b2a1c6" w:themeFill="accent4" w:themeFillTint="9A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 w:customStyle="1">
    <w:name w:val="List Table 3 - Accent 5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92ccdc" w:themeFill="accent5" w:themeFillTint="9A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 w:customStyle="1">
    <w:name w:val="List Table 3 - Accent 6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ac090" w:themeFill="accent6" w:themeFillTint="98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>
    <w:name w:val="List Table 4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 w:customStyle="1">
    <w:name w:val="List Table 4 - Accent 1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2dfee" w:themeFill="accent1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f81bd" w:themeFill="accent1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 w:customStyle="1">
    <w:name w:val="List Table 4 - Accent 2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fd2d2" w:themeFill="accent2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c0504d" w:themeFill="accent2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 w:customStyle="1">
    <w:name w:val="List Table 4 - Accent 3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5eed5" w:themeFill="accent3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9bbb59" w:themeFill="accent3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 w:customStyle="1">
    <w:name w:val="List Table 4 - Accent 4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fd8e7" w:themeFill="accent4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8064a2" w:themeFill="accent4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 w:customStyle="1">
    <w:name w:val="List Table 4 - Accent 5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1eaf0" w:themeFill="accent5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0" w:customStyle="1">
    <w:name w:val="List Table 4 - Accent 6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de4d0" w:themeFill="accent6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1">
    <w:name w:val="List Table 5 Dark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2" w:customStyle="1">
    <w:name w:val="List Table 5 Dark - Accent 1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3" w:customStyle="1">
    <w:name w:val="List Table 5 Dark - Accent 2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d99695" w:themeFill="accent2" w:themeFillTint="97"/>
        <w:tcBorders>
          <w:top w:val="single" w:color="c0504d" w:themeColor="accent2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4" w:customStyle="1">
    <w:name w:val="List Table 5 Dark - Accent 3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c3d69b" w:themeFill="accent3" w:themeFillTint="98"/>
        <w:tcBorders>
          <w:top w:val="single" w:color="9bbb59" w:themeColor="accent3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5" w:customStyle="1">
    <w:name w:val="List Table 5 Dark - Accent 4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b2a1c6" w:themeFill="accent4" w:themeFillTint="9A"/>
        <w:tcBorders>
          <w:top w:val="single" w:color="8064a2" w:themeColor="accent4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6" w:customStyle="1">
    <w:name w:val="List Table 5 Dark - Accent 5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92ccdc" w:themeFill="accent5" w:themeFillTint="9A"/>
        <w:tcBorders>
          <w:top w:val="single" w:color="4bacc6" w:themeColor="accent5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7" w:customStyle="1">
    <w:name w:val="List Table 5 Dark - Accent 6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ac090" w:themeFill="accent6" w:themeFillTint="98"/>
        <w:tcBorders>
          <w:top w:val="single" w:color="f79646" w:themeColor="accent6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8">
    <w:name w:val="List Table 6 Colorful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rPr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9" w:customStyle="1">
    <w:name w:val="List Table 6 Colorful - Accent 1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cPr>
      <w:tcBorders/>
    </w:tcPr>
    <w:tblStylePr w:type="band1Horz">
      <w:rPr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2dfee" w:themeFill="accent1" w:themeFillTint="40"/>
        <w:tcBorders/>
      </w:tcPr>
    </w:tblStylePr>
    <w:tblStylePr w:type="band2Horz">
      <w:rPr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0" w:customStyle="1">
    <w:name w:val="List Table 6 Colorful - Accent 2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cPr>
      <w:tcBorders/>
    </w:tcPr>
    <w:tblStylePr w:type="band1Horz">
      <w:rPr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fd2d2" w:themeFill="accent2" w:themeFillTint="40"/>
        <w:tcBorders/>
      </w:tcPr>
    </w:tblStylePr>
    <w:tblStylePr w:type="band2Horz">
      <w:rPr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c0504d" w:themeColor="accent2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1" w:customStyle="1">
    <w:name w:val="List Table 6 Colorful - Accent 3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cPr>
      <w:tcBorders/>
    </w:tcPr>
    <w:tblStylePr w:type="band1Horz">
      <w:rPr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5eed5" w:themeFill="accent3" w:themeFillTint="40"/>
        <w:tcBorders/>
      </w:tcPr>
    </w:tblStylePr>
    <w:tblStylePr w:type="band2Horz">
      <w:rPr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9bbb59" w:themeColor="accent3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2" w:customStyle="1">
    <w:name w:val="List Table 6 Colorful - Accent 4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cPr>
      <w:tcBorders/>
    </w:tcPr>
    <w:tblStylePr w:type="band1Horz">
      <w:rPr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fd8e7" w:themeFill="accent4" w:themeFillTint="40"/>
        <w:tcBorders/>
      </w:tcPr>
    </w:tblStylePr>
    <w:tblStylePr w:type="band2Horz">
      <w:rPr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8064a2" w:themeColor="accent4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3" w:customStyle="1">
    <w:name w:val="List Table 6 Colorful - Accent 5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cPr>
      <w:tcBorders/>
    </w:tcPr>
    <w:tblStylePr w:type="band1Horz">
      <w:rPr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1eaf0" w:themeFill="accent5" w:themeFillTint="40"/>
        <w:tcBorders/>
      </w:tcPr>
    </w:tblStylePr>
    <w:tblStylePr w:type="band2Horz">
      <w:rPr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4bacc6" w:themeColor="accent5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4" w:customStyle="1">
    <w:name w:val="List Table 6 Colorful - Accent 6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cPr>
      <w:tcBorders/>
    </w:tcPr>
    <w:tblStylePr w:type="band1Horz">
      <w:rPr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de4d0" w:themeFill="accent6" w:themeFillTint="40"/>
        <w:tcBorders/>
      </w:tcPr>
    </w:tblStylePr>
    <w:tblStylePr w:type="band2Horz">
      <w:rPr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f79646" w:themeColor="accent6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5">
    <w:name w:val="List Table 7 Colorful"/>
    <w:basedOn w:val="847"/>
    <w:uiPriority w:val="99"/>
    <w:pPr>
      <w:pBdr/>
      <w:spacing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000000" w:themeColor="text1" w:sz="4" w:space="0"/>
          <w:right w:val="none" w:color="000000" w:sz="0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000000" w:themeColor="tex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tex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6" w:customStyle="1">
    <w:name w:val="List Table 7 Colorful - Accent 1"/>
    <w:basedOn w:val="847"/>
    <w:uiPriority w:val="99"/>
    <w:pPr>
      <w:pBdr/>
      <w:spacing/>
      <w:ind/>
    </w:pPr>
    <w:tblPr>
      <w:tblStyleRowBandSize w:val="1"/>
      <w:tblStyleColBandSize w:val="1"/>
      <w:tblBorders>
        <w:right w:val="single" w:color="4f81bd" w:themeColor="accent1" w:sz="4" w:space="0"/>
      </w:tblBorders>
    </w:tblPr>
    <w:tcPr>
      <w:tcBorders/>
    </w:tcPr>
    <w:tblStylePr w:type="band1Horz">
      <w:rPr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2dfee" w:themeFill="accent1" w:themeFillTint="40"/>
        <w:tcBorders/>
      </w:tcPr>
    </w:tblStylePr>
    <w:tblStylePr w:type="band2Horz">
      <w:rPr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7" w:customStyle="1">
    <w:name w:val="List Table 7 Colorful - Accent 2"/>
    <w:basedOn w:val="847"/>
    <w:uiPriority w:val="99"/>
    <w:pPr>
      <w:pBdr/>
      <w:spacing/>
      <w:ind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cPr>
      <w:tcBorders/>
    </w:tcPr>
    <w:tblStylePr w:type="band1Horz">
      <w:rPr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fd2d2" w:themeFill="accent2" w:themeFillTint="40"/>
        <w:tcBorders/>
      </w:tcPr>
    </w:tblStylePr>
    <w:tblStylePr w:type="band2Horz">
      <w:rPr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0504d" w:themeColor="accent2" w:sz="4" w:space="0"/>
        </w:tcBorders>
      </w:tcPr>
    </w:tblStylePr>
    <w:tblStylePr w:type="firstRow">
      <w:rPr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c0504d" w:themeColor="accent2" w:sz="4" w:space="0"/>
          <w:right w:val="none" w:color="000000" w:sz="0" w:space="0"/>
        </w:tcBorders>
      </w:tcPr>
    </w:tblStylePr>
    <w:tblStylePr w:type="lastCol">
      <w:rPr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c0504d" w:themeColor="accent2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c0504d" w:themeColor="accent2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8" w:customStyle="1">
    <w:name w:val="List Table 7 Colorful - Accent 3"/>
    <w:basedOn w:val="847"/>
    <w:uiPriority w:val="99"/>
    <w:pPr>
      <w:pBdr/>
      <w:spacing/>
      <w:ind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cPr>
      <w:tcBorders/>
    </w:tcPr>
    <w:tblStylePr w:type="band1Horz">
      <w:rPr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5eed5" w:themeFill="accent3" w:themeFillTint="40"/>
        <w:tcBorders/>
      </w:tcPr>
    </w:tblStylePr>
    <w:tblStylePr w:type="band2Horz">
      <w:rPr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bb59" w:themeColor="accent3" w:sz="4" w:space="0"/>
        </w:tcBorders>
      </w:tcPr>
    </w:tblStylePr>
    <w:tblStylePr w:type="firstRow">
      <w:rPr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9bbb59" w:themeColor="accent3" w:sz="4" w:space="0"/>
          <w:right w:val="none" w:color="000000" w:sz="0" w:space="0"/>
        </w:tcBorders>
      </w:tcPr>
    </w:tblStylePr>
    <w:tblStylePr w:type="lastCol">
      <w:rPr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9bbb59" w:themeColor="accent3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9bbb59" w:themeColor="accent3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9" w:customStyle="1">
    <w:name w:val="List Table 7 Colorful - Accent 4"/>
    <w:basedOn w:val="847"/>
    <w:uiPriority w:val="99"/>
    <w:pPr>
      <w:pBdr/>
      <w:spacing/>
      <w:ind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cPr>
      <w:tcBorders/>
    </w:tcPr>
    <w:tblStylePr w:type="band1Horz">
      <w:rPr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fd8e7" w:themeFill="accent4" w:themeFillTint="40"/>
        <w:tcBorders/>
      </w:tcPr>
    </w:tblStylePr>
    <w:tblStylePr w:type="band2Horz">
      <w:rPr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064a2" w:themeColor="accent4" w:sz="4" w:space="0"/>
        </w:tcBorders>
      </w:tcPr>
    </w:tblStylePr>
    <w:tblStylePr w:type="firstRow">
      <w:rPr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8064a2" w:themeColor="accent4" w:sz="4" w:space="0"/>
          <w:right w:val="none" w:color="000000" w:sz="0" w:space="0"/>
        </w:tcBorders>
      </w:tcPr>
    </w:tblStylePr>
    <w:tblStylePr w:type="lastCol">
      <w:rPr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8064a2" w:themeColor="accent4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8064a2" w:themeColor="accent4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0" w:customStyle="1">
    <w:name w:val="List Table 7 Colorful - Accent 5"/>
    <w:basedOn w:val="847"/>
    <w:uiPriority w:val="99"/>
    <w:pPr>
      <w:pBdr/>
      <w:spacing/>
      <w:ind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cPr>
      <w:tcBorders/>
    </w:tcPr>
    <w:tblStylePr w:type="band1Horz">
      <w:rPr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1eaf0" w:themeFill="accent5" w:themeFillTint="40"/>
        <w:tcBorders/>
      </w:tcPr>
    </w:tblStylePr>
    <w:tblStylePr w:type="band2Horz">
      <w:rPr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bacc6" w:themeColor="accent5" w:sz="4" w:space="0"/>
        </w:tcBorders>
      </w:tcPr>
    </w:tblStylePr>
    <w:tblStylePr w:type="firstRow">
      <w:rPr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4bacc6" w:themeColor="accent5" w:sz="4" w:space="0"/>
          <w:right w:val="none" w:color="000000" w:sz="0" w:space="0"/>
        </w:tcBorders>
      </w:tcPr>
    </w:tblStylePr>
    <w:tblStylePr w:type="lastCol">
      <w:rPr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4bacc6" w:themeColor="accent5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4bacc6" w:themeColor="accent5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1" w:customStyle="1">
    <w:name w:val="List Table 7 Colorful - Accent 6"/>
    <w:basedOn w:val="847"/>
    <w:uiPriority w:val="99"/>
    <w:pPr>
      <w:pBdr/>
      <w:spacing/>
      <w:ind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cPr>
      <w:tcBorders/>
    </w:tcPr>
    <w:tblStylePr w:type="band1Horz">
      <w:rPr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de4d0" w:themeFill="accent6" w:themeFillTint="40"/>
        <w:tcBorders/>
      </w:tcPr>
    </w:tblStylePr>
    <w:tblStylePr w:type="band2Horz">
      <w:rPr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79646" w:themeColor="accent6" w:sz="4" w:space="0"/>
        </w:tcBorders>
      </w:tcPr>
    </w:tblStylePr>
    <w:tblStylePr w:type="firstRow">
      <w:rPr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0" w:space="0"/>
          <w:left w:val="none" w:color="000000" w:sz="0" w:space="0"/>
          <w:bottom w:val="single" w:color="f79646" w:themeColor="accent6" w:sz="4" w:space="0"/>
          <w:right w:val="none" w:color="000000" w:sz="0" w:space="0"/>
        </w:tcBorders>
      </w:tcPr>
    </w:tblStylePr>
    <w:tblStylePr w:type="lastCol">
      <w:rPr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79646" w:themeColor="accent6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f79646" w:themeColor="accent6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2" w:customStyle="1">
    <w:name w:val="Lined - Accent"/>
    <w:basedOn w:val="84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3" w:customStyle="1">
    <w:name w:val="Lined - Accent 1"/>
    <w:basedOn w:val="84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c7d7ea" w:themeFill="accent1" w:themeFillTint="50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c7d7ea" w:themeFill="accent1" w:themeFillTint="50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5d8ac2" w:themeFill="accent1" w:themeFillTint="EA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5d8ac2" w:themeFill="accent1" w:themeFillTint="EA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5d8ac2" w:themeFill="accent1" w:themeFillTint="EA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4" w:customStyle="1">
    <w:name w:val="Lined - Accent 2"/>
    <w:basedOn w:val="84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2dcdc" w:themeFill="accent2" w:themeFillTint="32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2dcdc" w:themeFill="accent2" w:themeFillTint="32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d99695" w:themeFill="accent2" w:themeFillTint="97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d99695" w:themeFill="accent2" w:themeFillTint="97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d99695" w:themeFill="accent2" w:themeFillTint="97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5" w:customStyle="1">
    <w:name w:val="Lined - Accent 3"/>
    <w:basedOn w:val="84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eaf1dc" w:themeFill="accent3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eaf1dc" w:themeFill="accent3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9abb59" w:themeFill="accent3" w:themeFillTint="FE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9abb59" w:themeFill="accent3" w:themeFillTint="FE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9abb59" w:themeFill="accent3" w:themeFillTint="FE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6" w:customStyle="1">
    <w:name w:val="Lined - Accent 4"/>
    <w:basedOn w:val="84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b2a1c6" w:themeFill="accent4" w:themeFillTint="9A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b2a1c6" w:themeFill="accent4" w:themeFillTint="9A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b2a1c6" w:themeFill="accent4" w:themeFillTint="9A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7" w:customStyle="1">
    <w:name w:val="Lined - Accent 5"/>
    <w:basedOn w:val="84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8" w:customStyle="1">
    <w:name w:val="Lined - Accent 6"/>
    <w:basedOn w:val="847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de9d8" w:themeFill="accent6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de9d8" w:themeFill="accent6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9" w:customStyle="1">
    <w:name w:val="Bordered &amp; Lined - Accent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0" w:customStyle="1">
    <w:name w:val="Bordered &amp; Lined - Accent 1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c7d7ea" w:themeFill="accent1" w:themeFillTint="50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c7d7ea" w:themeFill="accent1" w:themeFillTint="50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5d8ac2" w:themeFill="accent1" w:themeFillTint="EA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5d8ac2" w:themeFill="accent1" w:themeFillTint="EA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5d8ac2" w:themeFill="accent1" w:themeFillTint="EA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1" w:customStyle="1">
    <w:name w:val="Bordered &amp; Lined - Accent 2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2dcdc" w:themeFill="accent2" w:themeFillTint="32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2dcdc" w:themeFill="accent2" w:themeFillTint="32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d99695" w:themeFill="accent2" w:themeFillTint="97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d99695" w:themeFill="accent2" w:themeFillTint="97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d99695" w:themeFill="accent2" w:themeFillTint="97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2" w:customStyle="1">
    <w:name w:val="Bordered &amp; Lined - Accent 3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eaf1dc" w:themeFill="accent3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eaf1dc" w:themeFill="accent3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9abb59" w:themeFill="accent3" w:themeFillTint="FE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9abb59" w:themeFill="accent3" w:themeFillTint="FE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9abb59" w:themeFill="accent3" w:themeFillTint="FE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3" w:customStyle="1">
    <w:name w:val="Bordered &amp; Lined - Accent 4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e5dfec" w:themeFill="accent4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b2a1c6" w:themeFill="accent4" w:themeFillTint="9A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b2a1c6" w:themeFill="accent4" w:themeFillTint="9A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b2a1c6" w:themeFill="accent4" w:themeFillTint="9A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4" w:customStyle="1">
    <w:name w:val="Bordered &amp; Lined - Accent 5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daeef3" w:themeFill="accent5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5" w:customStyle="1">
    <w:name w:val="Bordered &amp; Lined - Accent 6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de9d8" w:themeFill="accent6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de9d8" w:themeFill="accent6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6" w:customStyle="1">
    <w:name w:val="Bordered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7" w:customStyle="1">
    <w:name w:val="Bordered - Accent 1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8" w:customStyle="1">
    <w:name w:val="Bordered - Accent 2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c0504d" w:themeColor="accent2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c0504d" w:themeColor="accent2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c0504d" w:themeColor="accent2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9" w:customStyle="1">
    <w:name w:val="Bordered - Accent 3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9bbb59" w:themeColor="accent3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9bbb59" w:themeColor="accent3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9bbb59" w:themeColor="accent3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0" w:customStyle="1">
    <w:name w:val="Bordered - Accent 4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8064a2" w:themeColor="accent4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8064a2" w:themeColor="accent4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8064a2" w:themeColor="accent4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1" w:customStyle="1">
    <w:name w:val="Bordered - Accent 5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4bacc6" w:themeColor="accent5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4bacc6" w:themeColor="accent5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2" w:customStyle="1">
    <w:name w:val="Bordered - Accent 6"/>
    <w:basedOn w:val="847"/>
    <w:uiPriority w:val="99"/>
    <w:pPr>
      <w:pBdr/>
      <w:spacing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f79646" w:themeColor="accent6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f79646" w:themeColor="accent6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3">
    <w:name w:val="Table Grid"/>
    <w:basedOn w:val="847"/>
    <w:pPr>
      <w:pBdr/>
      <w:spacing/>
      <w:ind/>
    </w:pPr>
    <w:rPr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image" Target="media/image1.emf"/><Relationship Id="rId17" Type="http://schemas.openxmlformats.org/officeDocument/2006/relationships/package" Target="embeddings/Microsoft_Excel_Worksheet1.xlsx"/><Relationship Id="rId18" Type="http://schemas.openxmlformats.org/officeDocument/2006/relationships/hyperlink" Target="garantf1://10005712.7200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A06DA7-E328-4FD9-8704-C2BDCFDFE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ONLYOFFICE/8.2.1.38</Application>
  <HeadingPairs>
    <vt:vector size="0" baseType="variant"/>
  </HeadingPairs>
  <TitlesOfParts>
    <vt:vector size="0" baseType="lpstr"/>
  </TitlesOfParts>
  <Company>YKF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econom4</dc:creator>
  <dc:description/>
  <dc:language>ru-RU</dc:language>
  <cp:revision>71</cp:revision>
  <dcterms:created xsi:type="dcterms:W3CDTF">2015-06-10T07:49:00Z</dcterms:created>
  <dcterms:modified xsi:type="dcterms:W3CDTF">2025-03-20T12:43:18Z</dcterms:modified>
</cp:coreProperties>
</file>